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гарантирующему поставщику или сетевой организации о проверке точки подключения зарядки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№459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после фиксации схемы, если нужно проверить законность точки подключения, принадлежность прибора учёта, безучётное потребление или влияние на выделенную дому мощность.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[гарантирующий поставщик / сетевую организацию]</w:t>
      </w:r>
    </w:p>
    <w:p>
      <w:pPr>
        <w:spacing w:after="40"/>
        <w:jc w:val="left"/>
      </w:pPr>
      <w:r>
        <w:rPr>
          <w:color w:val="14213D"/>
          <w:sz w:val="20"/>
        </w:rPr>
        <w:t>От: [ФИО / управляющая организация / ТСЖ,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Объект энергоснабжения: [адрес, лицевой счёт — если известен]</w:t>
      </w:r>
    </w:p>
    <w:p>
      <w:pPr>
        <w:pStyle w:val="Heading1"/>
      </w:pPr>
      <w:r>
        <w:t>ЗАЯВЛЕНИЕ О ПРОВЕРКЕ ТОЧКИ ПОДКЛЮЧЕНИЯ И УЧЁТА ЭЛЕКТРОЭНЕРГИИ</w:t>
      </w:r>
    </w:p>
    <w:p>
      <w:r>
        <w:t>По адресу [адрес] используется зарядная станция [место, владелец если известен]. Акт управляющей организации от [дата] фиксирует: [линия, щит, счётчик, схема].</w:t>
      </w:r>
    </w:p>
    <w:p>
      <w:r>
        <w:t>Имеются вопросы о [законности технологического присоединения / принадлежности точки поставки / отдельном учёте / возможном безучётном потреблении / превышении мощности].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Проверить в пределах компетенции точку присоединения, договорные и технические документы на зарядную станцию.</w:t>
      </w:r>
    </w:p>
    <w:p>
      <w:pPr>
        <w:pStyle w:val="ListNumber"/>
        <w:numPr>
          <w:ilvl w:val="0"/>
          <w:numId w:val="10"/>
        </w:numPr>
      </w:pPr>
      <w:r>
        <w:t>Установить, каким прибором учитывается потребление, и за кем закреплён соответствующий лицевой счёт.</w:t>
      </w:r>
    </w:p>
    <w:p>
      <w:pPr>
        <w:pStyle w:val="ListNumber"/>
        <w:numPr>
          <w:ilvl w:val="0"/>
          <w:numId w:val="10"/>
        </w:numPr>
      </w:pPr>
      <w:r>
        <w:t>При наличии предусмотренных законом оснований провести проверку учёта и оформить результаты установленным актом.</w:t>
      </w:r>
    </w:p>
    <w:p>
      <w:pPr>
        <w:pStyle w:val="ListNumber"/>
        <w:numPr>
          <w:ilvl w:val="0"/>
          <w:numId w:val="10"/>
        </w:numPr>
      </w:pPr>
      <w:r>
        <w:t>Сообщить, затрагивает ли подключение выделенную дому мощность и какие технические меры необходимы для законной эксплуатации.</w:t>
      </w:r>
    </w:p>
    <w:p>
      <w:pPr>
        <w:pStyle w:val="ListNumber"/>
        <w:numPr>
          <w:ilvl w:val="0"/>
          <w:numId w:val="10"/>
        </w:numPr>
      </w:pPr>
      <w:r>
        <w:t>Направить мотивированный ответ и копии документов, которые могут быть предоставлены заявителю.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рассчитывайте объём безучётного потребления самостоятельно как окончательную сумму. Такой расчёт зависит от надлежащего акта, схемы и применимых правил розничного рынка электроэнергии.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акт управляющей организации и схема;</w:t>
      </w:r>
    </w:p>
    <w:p>
      <w:pPr>
        <w:pStyle w:val="ListBullet"/>
        <w:numPr>
          <w:ilvl w:val="0"/>
          <w:numId w:val="11"/>
        </w:numPr>
      </w:pPr>
      <w:r>
        <w:t>фотографии подключения и прибора учёта;</w:t>
      </w:r>
    </w:p>
    <w:p>
      <w:pPr>
        <w:pStyle w:val="ListBullet"/>
        <w:numPr>
          <w:ilvl w:val="0"/>
          <w:numId w:val="11"/>
        </w:numPr>
      </w:pPr>
      <w:r>
        <w:t>показания и расчёт предварительной разницы;</w:t>
      </w:r>
    </w:p>
    <w:p>
      <w:pPr>
        <w:pStyle w:val="ListBullet"/>
        <w:numPr>
          <w:ilvl w:val="0"/>
          <w:numId w:val="11"/>
        </w:numPr>
      </w:pPr>
      <w:r>
        <w:t>протокол общего собрания и проект — при наличии;</w:t>
      </w:r>
    </w:p>
    <w:p>
      <w:pPr>
        <w:pStyle w:val="ListBullet"/>
        <w:numPr>
          <w:ilvl w:val="0"/>
          <w:numId w:val="11"/>
        </w:numPr>
      </w:pPr>
      <w:r>
        <w:t>предыдущая переписка.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Основные положения функционирования розничных рынков электроэнергии, утверждённые постановлением Правительства РФ № 442; статьи 36 и 161 ЖК РФ; договор энергоснабжения и документы технологического присоединения.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№459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