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главному врачу о лечении ребёнка при разногласии родителей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№463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Передаётся клинике, если один родитель дал согласие, второй возражает, а помощь откладывается без письменного медицинского решения.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Главному врачу [медицинская организация]</w:t>
      </w:r>
    </w:p>
    <w:p>
      <w:pPr>
        <w:spacing w:after="40"/>
        <w:jc w:val="left"/>
      </w:pPr>
      <w:r>
        <w:rPr>
          <w:color w:val="14213D"/>
          <w:sz w:val="20"/>
        </w:rPr>
        <w:t>От родителя: [ФИО, адрес, телефон]</w:t>
      </w:r>
    </w:p>
    <w:p>
      <w:pPr>
        <w:spacing w:after="40"/>
        <w:jc w:val="right"/>
      </w:pPr>
      <w:r>
        <w:rPr>
          <w:color w:val="14213D"/>
          <w:sz w:val="20"/>
        </w:rPr>
        <w:t>В интересах ребёнка: [ФИО, дата рождения]</w:t>
      </w:r>
    </w:p>
    <w:p>
      <w:pPr>
        <w:pStyle w:val="Heading1"/>
      </w:pPr>
      <w:r>
        <w:t>ЗАЯВЛЕНИЕ О СВОЕВРЕМЕННОМ МЕДИЦИНСКОМ РЕШЕНИИ</w:t>
      </w:r>
    </w:p>
    <w:p>
      <w:r>
        <w:t>Ребёнку установлен диагноз [диагноз], предложено вмешательство [описание]. Я как родитель дал(а) информированное добровольное согласие [дата]. Второй родитель [возражает / направил отказ], и помощь отложена до [событие].</w:t>
      </w:r>
    </w:p>
    <w:p>
      <w:r>
        <w:t>По закону согласие в отношении несовершеннолетнего в предусмотренных случаях даёт один из родителей или иной законный представитель. При этом решение о методе, срочности и допустимости ожидания остаётся медицинским.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Организовать осмотр / консилиум и письменно определить диагноз, показания, альтернативы, срочность и максимально допустимый срок ожидания.</w:t>
      </w:r>
    </w:p>
    <w:p>
      <w:pPr>
        <w:pStyle w:val="ListNumber"/>
        <w:numPr>
          <w:ilvl w:val="0"/>
          <w:numId w:val="10"/>
        </w:numPr>
      </w:pPr>
      <w:r>
        <w:t>Принять и приобщить моё согласие либо письменно указать конкретную норму и медицинское основание, по которым оно недостаточно.</w:t>
      </w:r>
    </w:p>
    <w:p>
      <w:pPr>
        <w:pStyle w:val="ListNumber"/>
        <w:numPr>
          <w:ilvl w:val="0"/>
          <w:numId w:val="10"/>
        </w:numPr>
      </w:pPr>
      <w:r>
        <w:t>При угрозе жизни оценить экстренный порядок оказания помощи и необходимость обращения медицинской организации в суд при отказе законного представителя.</w:t>
      </w:r>
    </w:p>
    <w:p>
      <w:pPr>
        <w:pStyle w:val="ListNumber"/>
        <w:numPr>
          <w:ilvl w:val="0"/>
          <w:numId w:val="10"/>
        </w:numPr>
      </w:pPr>
      <w:r>
        <w:t>Выдать копии медицинских заключений, согласий, отказов и решения консилиума.</w:t>
      </w:r>
    </w:p>
    <w:p>
      <w:pPr>
        <w:pStyle w:val="ListNumber"/>
        <w:numPr>
          <w:ilvl w:val="0"/>
          <w:numId w:val="10"/>
        </w:numPr>
      </w:pPr>
      <w:r>
        <w:t>Сообщить ответственного врача и план дальнейших действий.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Заявление не требует провести конкретную операцию вопреки медицинским показаниям — оно требует своевременного профессионального решения.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свидетельство о рождении;</w:t>
      </w:r>
    </w:p>
    <w:p>
      <w:pPr>
        <w:pStyle w:val="ListBullet"/>
        <w:numPr>
          <w:ilvl w:val="0"/>
          <w:numId w:val="11"/>
        </w:numPr>
      </w:pPr>
      <w:r>
        <w:t>заключения, обследования и план лечения;</w:t>
      </w:r>
    </w:p>
    <w:p>
      <w:pPr>
        <w:pStyle w:val="ListBullet"/>
        <w:numPr>
          <w:ilvl w:val="0"/>
          <w:numId w:val="11"/>
        </w:numPr>
      </w:pPr>
      <w:r>
        <w:t>согласие одного родителя;</w:t>
      </w:r>
    </w:p>
    <w:p>
      <w:pPr>
        <w:pStyle w:val="ListBullet"/>
        <w:numPr>
          <w:ilvl w:val="0"/>
          <w:numId w:val="11"/>
        </w:numPr>
      </w:pPr>
      <w:r>
        <w:t>отказ или переписка второго родителя;</w:t>
      </w:r>
    </w:p>
    <w:p>
      <w:pPr>
        <w:pStyle w:val="ListBullet"/>
        <w:numPr>
          <w:ilvl w:val="0"/>
          <w:numId w:val="11"/>
        </w:numPr>
      </w:pPr>
      <w:r>
        <w:t>предыдущие обращения в клинику.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19, 20, 22 и 54 Федерального закона № 323-ФЗ; статьи 63 и 65 СК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№463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