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в ИФНС о корректировке ЕНС и учёте ранее уплаченного налога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ИФНС России № ___ по __________</w:t>
            </w:r>
          </w:p>
          <w:p>
            <w:pPr>
              <w:spacing w:after="20"/>
            </w:pPr>
            <w:r>
              <w:rPr>
                <w:sz w:val="19"/>
              </w:rPr>
              <w:t>от: 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ИНН: 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тел./e-mail: _____________________</w:t>
            </w:r>
          </w:p>
        </w:tc>
      </w:tr>
    </w:tbl>
    <w:p>
      <w:pPr>
        <w:pStyle w:val="Heading1"/>
      </w:pPr>
      <w:r>
        <w:t>Обстоятельства</w:t>
      </w:r>
    </w:p>
    <w:p>
      <w:r>
        <w:t>В личном кабинете / требовании № ______ от «___» ________ 20__ г. отражена задолженность по __________________ за период ______ в сумме ______ руб. При этом налог был уплачен «___» ________ 20__ г. платёжным документом № ______ / либо спор возник из-за неверного распределения платежа на ЕНС.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Предоставить детализацию формирования спорной суммы: документ начисления, срок уплаты, пени и движение средств по ЕНС.</w:t>
      </w:r>
    </w:p>
    <w:p>
      <w:pPr>
        <w:pStyle w:val="ListNumber"/>
        <w:spacing w:after="40"/>
      </w:pPr>
      <w:r>
        <w:t>Проверить принадлежность платежа от «___» ________ 20__ г. на сумму ______ руб. и корректность его учёта.</w:t>
      </w:r>
    </w:p>
    <w:p>
      <w:pPr>
        <w:pStyle w:val="ListNumber"/>
        <w:spacing w:after="40"/>
      </w:pPr>
      <w:r>
        <w:t>При подтверждении ошибки скорректировать ЕНС и исключить неправомерно отражённую задолженность/пени.</w:t>
      </w:r>
    </w:p>
    <w:p>
      <w:pPr>
        <w:pStyle w:val="ListNumber"/>
        <w:spacing w:after="40"/>
      </w:pPr>
      <w:r>
        <w:t>Сообщить принятое решение и актуальное сальдо ЕНС.</w:t>
      </w:r>
    </w:p>
    <w:p>
      <w:pPr>
        <w:pStyle w:val="Heading1"/>
      </w:pPr>
      <w:r>
        <w:t>Приложения</w:t>
      </w:r>
    </w:p>
    <w:p>
      <w:pPr>
        <w:pStyle w:val="ListBullet"/>
        <w:spacing w:after="40"/>
      </w:pPr>
      <w:r>
        <w:t>платёжное поручение / чек / банковская выписка;</w:t>
      </w:r>
    </w:p>
    <w:p>
      <w:pPr>
        <w:pStyle w:val="ListBullet"/>
        <w:spacing w:after="40"/>
      </w:pPr>
      <w:r>
        <w:t>требование, уведомление или иной документ ИФНС;</w:t>
      </w:r>
    </w:p>
    <w:p>
      <w:pPr>
        <w:pStyle w:val="ListBullet"/>
        <w:spacing w:after="40"/>
      </w:pPr>
      <w:r>
        <w:t>детализация ЕНС и переписка с инспекцией;</w:t>
      </w:r>
    </w:p>
    <w:p>
      <w:pPr>
        <w:pStyle w:val="ListBullet"/>
        <w:spacing w:after="40"/>
      </w:pPr>
      <w:r>
        <w:t>декларация/расчёт и иные документы по спорному налогу.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Фраза «долгу больше трёх лет» сама по себе не означает автоматическое списание. Сначала нужно установить документ начисления, сроки взыскания, судебную/внесудебную стадию и основания статьи 59 НК РФ.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НК РФ: статьи 11.3, 45, 48, 59, 69-70 и иные нормы в зависимости от вида налога и стадии взыскания.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