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нотариусу о запросе операций по счетам умершего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№464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Нужно наследнику, чтобы нотариус запросил остаток на дату смерти и последующие операции, которые банк обычно не раскрывает наследнику напрямую.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Нотариусу, ведущему наследственное дело [ФИО]</w:t>
      </w:r>
    </w:p>
    <w:p>
      <w:pPr>
        <w:spacing w:after="40"/>
        <w:jc w:val="left"/>
      </w:pPr>
      <w:r>
        <w:rPr>
          <w:color w:val="14213D"/>
          <w:sz w:val="20"/>
        </w:rPr>
        <w:t>От наследника: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Наследственное дело № [номер]</w:t>
      </w:r>
    </w:p>
    <w:p>
      <w:pPr>
        <w:pStyle w:val="Heading1"/>
      </w:pPr>
      <w:r>
        <w:t>ЗАЯВЛЕНИЕ О НАПРАВЛЕНИИ ЗАПРОСА В БАНК И ФИКСАЦИИ ДЕНЕЖНЫХ СРЕДСТВ</w:t>
      </w:r>
    </w:p>
    <w:p>
      <w:r>
        <w:t>Наследодатель [ФИО] умер [дата]. Мне известно о счёте / карте в [банк, реквизиты]. После смерти предположительно совершены операции [даты, суммы, способ], о которых я узнал(а) [источник].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Направить в банк запрос об остатке на счёте на дату смерти и движении денежных средств после неё.</w:t>
      </w:r>
    </w:p>
    <w:p>
      <w:pPr>
        <w:pStyle w:val="ListNumber"/>
        <w:numPr>
          <w:ilvl w:val="0"/>
          <w:numId w:val="10"/>
        </w:numPr>
      </w:pPr>
      <w:r>
        <w:t>Запросить сведения о способе операций, получателях переводов, банкоматах и отделениях в объёме, допустимом законом.</w:t>
      </w:r>
    </w:p>
    <w:p>
      <w:pPr>
        <w:pStyle w:val="ListNumber"/>
        <w:numPr>
          <w:ilvl w:val="0"/>
          <w:numId w:val="10"/>
        </w:numPr>
      </w:pPr>
      <w:r>
        <w:t>Учесть подтверждённые денежные средства и требование об их возврате при определении состава наследства.</w:t>
      </w:r>
    </w:p>
    <w:p>
      <w:pPr>
        <w:pStyle w:val="ListNumber"/>
        <w:numPr>
          <w:ilvl w:val="0"/>
          <w:numId w:val="10"/>
        </w:numPr>
      </w:pPr>
      <w:r>
        <w:t>Принять меры по охране наследства, если имеются основания и сохраняется риск дальнейшего выбытия средств.</w:t>
      </w:r>
    </w:p>
    <w:p>
      <w:pPr>
        <w:pStyle w:val="ListNumber"/>
        <w:numPr>
          <w:ilvl w:val="0"/>
          <w:numId w:val="10"/>
        </w:numPr>
      </w:pPr>
      <w:r>
        <w:t>Выдать подтверждение принятия заявления и сообщить о полученных ответах.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входите в банковское приложение умершего для получения выписки: запрос нотариуса сохраняет законный источник доказательств.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 о смерти;</w:t>
      </w:r>
    </w:p>
    <w:p>
      <w:pPr>
        <w:pStyle w:val="ListBullet"/>
        <w:numPr>
          <w:ilvl w:val="0"/>
          <w:numId w:val="11"/>
        </w:numPr>
      </w:pPr>
      <w:r>
        <w:t>документы о родстве и принятии наследства;</w:t>
      </w:r>
    </w:p>
    <w:p>
      <w:pPr>
        <w:pStyle w:val="ListBullet"/>
        <w:numPr>
          <w:ilvl w:val="0"/>
          <w:numId w:val="11"/>
        </w:numPr>
      </w:pPr>
      <w:r>
        <w:t>известные реквизиты счетов;</w:t>
      </w:r>
    </w:p>
    <w:p>
      <w:pPr>
        <w:pStyle w:val="ListBullet"/>
        <w:numPr>
          <w:ilvl w:val="0"/>
          <w:numId w:val="11"/>
        </w:numPr>
      </w:pPr>
      <w:r>
        <w:t>уведомления об операциях и переписка;</w:t>
      </w:r>
    </w:p>
    <w:p>
      <w:pPr>
        <w:pStyle w:val="ListBullet"/>
        <w:numPr>
          <w:ilvl w:val="0"/>
          <w:numId w:val="11"/>
        </w:numPr>
      </w:pPr>
      <w:r>
        <w:t>сведения о возможном получателе.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1112, 1152–1154, 1171–1173 ГК РФ; статья 26 Федерального закона № 395-1; Основы законодательства РФ о нотариате.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