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орган опеки после внезапного переезда ребёнка и смены школы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№461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для проверки условий ребёнка, восстановления информации и подготовки заключения, но не для объявления второго родителя похитителем без фактических оснований.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опеки и попечительства [по месту ребёнка]</w:t>
      </w:r>
    </w:p>
    <w:p>
      <w:pPr>
        <w:spacing w:after="40"/>
        <w:jc w:val="left"/>
      </w:pPr>
      <w:r>
        <w:rPr>
          <w:color w:val="14213D"/>
          <w:sz w:val="20"/>
        </w:rPr>
        <w:t>От родителя: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pStyle w:val="Heading1"/>
      </w:pPr>
      <w:r>
        <w:t>ЗАЯВЛЕНИЕ О ЗАЩИТЕ ПРАВ РЕБЁНКА И СОДЕЙСТВИИ В УРЕГУЛИРОВАНИИ СПОРА</w:t>
      </w:r>
    </w:p>
    <w:p>
      <w:r>
        <w:t>[Дата] второй родитель без предварительного согласования увёз ребёнка из [город] в [город] и перевёл из школы [название] в [название / неизвестно]. С [дата] общение ограничено следующим образом: [факты].</w:t>
      </w:r>
    </w:p>
    <w:p>
      <w:r>
        <w:t>Я не прошу применять силовые меры без оснований. Необходимо установить фактические условия, обеспечить ребёнку связь с обоими родителями и предложить временный безопасный порядок.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Установить фактический адрес, образовательную организацию и условия проживания ребёнка в пределах полномочий.</w:t>
      </w:r>
    </w:p>
    <w:p>
      <w:pPr>
        <w:pStyle w:val="ListNumber"/>
        <w:numPr>
          <w:ilvl w:val="0"/>
          <w:numId w:val="10"/>
        </w:numPr>
      </w:pPr>
      <w:r>
        <w:t>Провести обследование условий и получить объяснения обоих родителей с учётом мнения ребёнка по возрасту.</w:t>
      </w:r>
    </w:p>
    <w:p>
      <w:pPr>
        <w:pStyle w:val="ListNumber"/>
        <w:numPr>
          <w:ilvl w:val="0"/>
          <w:numId w:val="10"/>
        </w:numPr>
      </w:pPr>
      <w:r>
        <w:t>Содействовать временному графику звонков, встреч и обмена сведениями о здоровье и обучении.</w:t>
      </w:r>
    </w:p>
    <w:p>
      <w:pPr>
        <w:pStyle w:val="ListNumber"/>
        <w:numPr>
          <w:ilvl w:val="0"/>
          <w:numId w:val="10"/>
        </w:numPr>
      </w:pPr>
      <w:r>
        <w:t>Разъяснить порядок разрешения спора о месте жительства, воспитании и образовании ребёнка.</w:t>
      </w:r>
    </w:p>
    <w:p>
      <w:pPr>
        <w:pStyle w:val="ListNumber"/>
        <w:numPr>
          <w:ilvl w:val="0"/>
          <w:numId w:val="10"/>
        </w:numPr>
      </w:pPr>
      <w:r>
        <w:t>Предоставить письменный ответ и документы, которые могут быть выданы родителю.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местонахождение ребёнка скрыто или есть конкретная угроза, одновременно обращайтесь в полицию, описывая факты, а не давая неподтверждённую уголовную квалификацию.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рождении;</w:t>
      </w:r>
    </w:p>
    <w:p>
      <w:pPr>
        <w:pStyle w:val="ListBullet"/>
        <w:numPr>
          <w:ilvl w:val="0"/>
          <w:numId w:val="11"/>
        </w:numPr>
      </w:pPr>
      <w:r>
        <w:t>переписка о переезде и контактах;</w:t>
      </w:r>
    </w:p>
    <w:p>
      <w:pPr>
        <w:pStyle w:val="ListBullet"/>
        <w:numPr>
          <w:ilvl w:val="0"/>
          <w:numId w:val="11"/>
        </w:numPr>
      </w:pPr>
      <w:r>
        <w:t>документы прежней школы;</w:t>
      </w:r>
    </w:p>
    <w:p>
      <w:pPr>
        <w:pStyle w:val="ListBullet"/>
        <w:numPr>
          <w:ilvl w:val="0"/>
          <w:numId w:val="11"/>
        </w:numPr>
      </w:pPr>
      <w:r>
        <w:t>предложенный график общения;</w:t>
      </w:r>
    </w:p>
    <w:p>
      <w:pPr>
        <w:pStyle w:val="ListBullet"/>
        <w:numPr>
          <w:ilvl w:val="0"/>
          <w:numId w:val="11"/>
        </w:numPr>
      </w:pPr>
      <w:r>
        <w:t>доказательства участия в воспитании;</w:t>
      </w:r>
    </w:p>
    <w:p>
      <w:pPr>
        <w:pStyle w:val="ListBullet"/>
        <w:numPr>
          <w:ilvl w:val="0"/>
          <w:numId w:val="11"/>
        </w:numPr>
      </w:pPr>
      <w:r>
        <w:t>сведения о возможном адресе.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61, 63, 65, 66 и 78 СК РФ; статья 44 Федерального закона № 273-ФЗ;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