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 перерасчёте за неоказанные или некачественные услуги ЖКХ</w:t>
      </w:r>
    </w:p>
    <w:p>
      <w:pPr>
        <w:pStyle w:val="SmallNote"/>
      </w:pPr>
      <w:r>
        <w:t>Категория: Заявления  •  Статья сайта: №226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Коммунальная услуга отсутствовала/была ненадлежащего качества либо услуги по содержанию общего имущества не выполнялись. В заявлении нужно выбрать правильную правовую ветку.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Исполнителю/УК/РСО: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 потребителя: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Помещение и лицевой счёт: [данные]</w:t>
      </w:r>
    </w:p>
    <w:p>
      <w:pPr>
        <w:pStyle w:val="Heading1"/>
      </w:pPr>
      <w:r>
        <w:t>ЗАЯВЛЕНИЕ О ПЕРЕРАСЧЁТЕ (УМЕНЬШЕНИИ) ПЛАТЫ ЗА ЖИЛИЩНО-КОММУНАЛЬНЫЕ УСЛУГИ</w:t>
      </w:r>
    </w:p>
    <w:p>
      <w:pPr>
        <w:pStyle w:val="Heading2"/>
      </w:pPr>
      <w:r>
        <w:t>ОБСТОЯТЕЛЬСТВА</w:t>
      </w:r>
    </w:p>
    <w:p>
      <w:r>
        <w:t>За период [даты] услуга [наименование] [не предоставлялась/имела параметры: температура, давление, длительность перерыва]. Фиксация: [аварийная заявка, акт, показания приборов, фото]. Начислено [сумма].</w:t>
      </w:r>
    </w:p>
    <w:p>
      <w:r>
        <w:t>Если спор относится к содержанию жилья, невыполненная работа указана отдельно: [работа, период, договор/перечень]. Если основание — временное отсутствие, указаны отсутствие, наличие/невозможность прибора учёта и документы; эти основания не смешиваются.</w:t>
      </w:r>
    </w:p>
    <w:p>
      <w:pPr>
        <w:pStyle w:val="Heading2"/>
      </w:pPr>
      <w:r>
        <w:t>ПРАВОВЫЕ ОСНОВАНИЯ</w:t>
      </w:r>
    </w:p>
    <w:p>
      <w:r>
        <w:t>Для коммунальных услуг перерасчёт при перерывах и ненадлежащем качестве определяется Правилами № 354 и приложением № 1. При временном отсутствии действует отдельный раздел VIII с условиями и сроками. Для содержания общего имущества уменьшение платы регулируют ЖК РФ и Правила № 491, а не формула временного отсутствия.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Зарегистрировать заявление и провести проверку с составлением акта, если нарушение продолжается.</w:t>
      </w:r>
    </w:p>
    <w:p>
      <w:pPr>
        <w:pStyle w:val="ListNumber"/>
        <w:numPr>
          <w:ilvl w:val="0"/>
          <w:numId w:val="10"/>
        </w:numPr>
      </w:pPr>
      <w:r>
        <w:t>Произвести перерасчёт платы за [услуга] за период [даты] по конкретному основанию и формуле, выдать подробный расчёт.</w:t>
      </w:r>
    </w:p>
    <w:p>
      <w:pPr>
        <w:pStyle w:val="ListNumber"/>
        <w:numPr>
          <w:ilvl w:val="0"/>
          <w:numId w:val="10"/>
        </w:numPr>
      </w:pPr>
      <w:r>
        <w:t>Уменьшить плату за содержание жилья за невыполненные/некачественные работы [перечень, период] — если эта ветка заявлена.</w:t>
      </w:r>
    </w:p>
    <w:p>
      <w:pPr>
        <w:pStyle w:val="ListNumber"/>
        <w:numPr>
          <w:ilvl w:val="0"/>
          <w:numId w:val="10"/>
        </w:numPr>
      </w:pPr>
      <w:r>
        <w:t>Исключить пени, начисленные на оспариваемую сумму до разрешения обоснованного спора, и исправить платёжный документ при наличии оснований.</w:t>
      </w:r>
    </w:p>
    <w:p>
      <w:pPr>
        <w:pStyle w:val="ListNumber"/>
        <w:numPr>
          <w:ilvl w:val="0"/>
          <w:numId w:val="10"/>
        </w:numPr>
      </w:pPr>
      <w:r>
        <w:t>Направить мотивированный ответ, акт и сведения о нормативах качества/допустимой продолжительности перерыва.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Фраза «я не пользовался» сама по себе не даёт перерасчёт по всем строкам. Отопление, общедомовые нужды, содержание жилья, коммунальная услуга плохого качества и временное отсутствие рассчитываются по разным правилам.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квитанции и детализация начислений;</w:t>
      </w:r>
    </w:p>
    <w:p>
      <w:pPr>
        <w:pStyle w:val="ListBullet"/>
        <w:numPr>
          <w:ilvl w:val="0"/>
          <w:numId w:val="11"/>
        </w:numPr>
      </w:pPr>
      <w:r>
        <w:t>акт/номер аварийной заявки;</w:t>
      </w:r>
    </w:p>
    <w:p>
      <w:pPr>
        <w:pStyle w:val="ListBullet"/>
        <w:numPr>
          <w:ilvl w:val="0"/>
          <w:numId w:val="11"/>
        </w:numPr>
      </w:pPr>
      <w:r>
        <w:t>показания приборов;</w:t>
      </w:r>
    </w:p>
    <w:p>
      <w:pPr>
        <w:pStyle w:val="ListBullet"/>
        <w:numPr>
          <w:ilvl w:val="0"/>
          <w:numId w:val="11"/>
        </w:numPr>
      </w:pPr>
      <w:r>
        <w:t>фото/видео/журнал параметров;</w:t>
      </w:r>
    </w:p>
    <w:p>
      <w:pPr>
        <w:pStyle w:val="ListBullet"/>
        <w:numPr>
          <w:ilvl w:val="0"/>
          <w:numId w:val="11"/>
        </w:numPr>
      </w:pPr>
      <w:r>
        <w:t>документы временного отсутствия — только для этой ветки;</w:t>
      </w:r>
    </w:p>
    <w:p>
      <w:pPr>
        <w:pStyle w:val="ListBullet"/>
        <w:numPr>
          <w:ilvl w:val="0"/>
          <w:numId w:val="11"/>
        </w:numPr>
      </w:pPr>
      <w:r>
        <w:t>договор/перечень работ по содержанию;</w:t>
      </w:r>
    </w:p>
    <w:p>
      <w:pPr>
        <w:pStyle w:val="ListBullet"/>
        <w:numPr>
          <w:ilvl w:val="0"/>
          <w:numId w:val="11"/>
        </w:numPr>
      </w:pPr>
      <w:r>
        <w:t>собственный расчёт;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154–157 и 161 ЖК РФ; Постановление Правительства РФ № 354, включая приложение № 1 и применимый раздел; Постановление Правительства РФ № 491; статьи 4, 29 и 31 Закона РФ № 2300-1 — при применимости.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