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полицию о краже имущества из бокса индивидуального хранения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№490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Есть признаки проникновения или исчезновения вещей, а не только спор об ответственности оператора. Заявление подаётся параллельно претензии и не заменяет требование о возмещении убытков.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ОМВД России по [район / город]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Место происшествия: [адрес комплекса, номер бокса]</w:t>
      </w:r>
    </w:p>
    <w:p>
      <w:pPr>
        <w:pStyle w:val="Heading1"/>
      </w:pPr>
      <w:r>
        <w:t>ЗАЯВЛЕНИЕ О ХИЩЕНИИ ИМУЩЕСТВА</w:t>
      </w:r>
    </w:p>
    <w:p>
      <w:r>
        <w:t>[Дата и время] в боксе № [номер] по адресу [адрес] я обнаружил(а) отсутствие имущества: [перечень, признаки, примерная стоимость]. Последний раз имущество находилось в боксе [дата и время].</w:t>
      </w:r>
    </w:p>
    <w:p>
      <w:r>
        <w:t>Доступ к боксу осуществлялся [ключом / кодом / картой]. Обнаружены следующие следы: [повреждение замка, двери, пломбы, отсутствие следов]. Оператору сообщено [дата, номер обращения].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заявление в КУСП и выдать талон-уведомление.</w:t>
      </w:r>
    </w:p>
    <w:p>
      <w:pPr>
        <w:pStyle w:val="ListNumber"/>
        <w:numPr>
          <w:ilvl w:val="0"/>
          <w:numId w:val="10"/>
        </w:numPr>
      </w:pPr>
      <w:r>
        <w:t>Осмотреть место происшествия, зафиксировать состояние бокса и при необходимости изъять следы.</w:t>
      </w:r>
    </w:p>
    <w:p>
      <w:pPr>
        <w:pStyle w:val="ListNumber"/>
        <w:numPr>
          <w:ilvl w:val="0"/>
          <w:numId w:val="10"/>
        </w:numPr>
      </w:pPr>
      <w:r>
        <w:t>Истребовать и сохранить записи камер, журналы электронного доступа, сведения об охране и посетителях за период [период].</w:t>
      </w:r>
    </w:p>
    <w:p>
      <w:pPr>
        <w:pStyle w:val="ListNumber"/>
        <w:numPr>
          <w:ilvl w:val="0"/>
          <w:numId w:val="10"/>
        </w:numPr>
      </w:pPr>
      <w:r>
        <w:t>Установить лицо, совершившее хищение, и решить вопрос о возбуждении уголовного дела по результатам проверки.</w:t>
      </w:r>
    </w:p>
    <w:p>
      <w:pPr>
        <w:pStyle w:val="ListNumber"/>
        <w:numPr>
          <w:ilvl w:val="0"/>
          <w:numId w:val="10"/>
        </w:numPr>
      </w:pPr>
      <w:r>
        <w:t>Уведомить меня о принятом процессуальном решении и вручить его копию.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завышайте стоимость и не включайте вещи, наличие которых нельзя добросовестно подтвердить. Дополнительные доказательства можно передать отдельным заявлением.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 на бокс;</w:t>
      </w:r>
    </w:p>
    <w:p>
      <w:pPr>
        <w:pStyle w:val="ListBullet"/>
        <w:numPr>
          <w:ilvl w:val="0"/>
          <w:numId w:val="11"/>
        </w:numPr>
      </w:pPr>
      <w:r>
        <w:t>опись и документы о стоимости;</w:t>
      </w:r>
    </w:p>
    <w:p>
      <w:pPr>
        <w:pStyle w:val="ListBullet"/>
        <w:numPr>
          <w:ilvl w:val="0"/>
          <w:numId w:val="11"/>
        </w:numPr>
      </w:pPr>
      <w:r>
        <w:t>фото места и повреждений;</w:t>
      </w:r>
    </w:p>
    <w:p>
      <w:pPr>
        <w:pStyle w:val="ListBullet"/>
        <w:numPr>
          <w:ilvl w:val="0"/>
          <w:numId w:val="11"/>
        </w:numPr>
      </w:pPr>
      <w:r>
        <w:t>обращение оператору;</w:t>
      </w:r>
    </w:p>
    <w:p>
      <w:pPr>
        <w:pStyle w:val="ListBullet"/>
        <w:numPr>
          <w:ilvl w:val="0"/>
          <w:numId w:val="11"/>
        </w:numPr>
      </w:pPr>
      <w:r>
        <w:t>контакты свидетелей.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141, 144 и 145 УПК РФ; правовая квалификация, в том числе по статье 158 УК РФ, определяется органом проверки по установленным обстоятельствам.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№490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