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полицию о тайной установке программы слежения и доступе к переписке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№499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 телефоне обнаружены признаки скрытого контроля, а партнёр демонстрирует знание закрытой переписки или маршрутов. Перед сбросом устройства желательно провести техническую фиксацию.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[отдел МВД России]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безопасный телефон и e-mail]</w:t>
      </w:r>
    </w:p>
    <w:p>
      <w:pPr>
        <w:pStyle w:val="Heading1"/>
      </w:pPr>
      <w:r>
        <w:t>ЗАЯВЛЕНИЕ О ТАЙНОМ ДОСТУПЕ К ТЕЛЕФОНУ, ПЕРЕПИСКЕ И ГЕОЛОКАЦИИ</w:t>
      </w:r>
    </w:p>
    <w:p>
      <w:r>
        <w:t>[Дата] я обнаружил(а) на телефоне [модель, IMEI] признаки программы или настроек скрытого контроля: [название, права администратора, профили, специальные возможности, привязанные устройства, уведомления о входе].</w:t>
      </w:r>
    </w:p>
    <w:p>
      <w:r>
        <w:t>[ФИО/неизвестное лицо] сообщал(а) сведения, доступные только из закрытой переписки / геолокации: [конкретные примеры, даты]. Доступ к телефону ранее имелся при обстоятельствах: [факты]. Согласия на тайное чтение сообщений, отслеживание или копирование данных я не давал(а).</w:t>
      </w:r>
    </w:p>
    <w:p>
      <w:r>
        <w:t>Угрозы, распространение сведений или преследование: [описать]. Для безопасной связи прошу использовать указанный выше чистый контакт.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сообщение и провести проверку в порядке статей 144–145 УПК РФ.</w:t>
      </w:r>
    </w:p>
    <w:p>
      <w:pPr>
        <w:pStyle w:val="ListNumber"/>
        <w:numPr>
          <w:ilvl w:val="0"/>
          <w:numId w:val="10"/>
        </w:numPr>
      </w:pPr>
      <w:r>
        <w:t>Организовать процессуально надлежащий осмотр и при необходимости компьютерно-техническое исследование устройства без уничтожения исходных данных.</w:t>
      </w:r>
    </w:p>
    <w:p>
      <w:pPr>
        <w:pStyle w:val="ListNumber"/>
        <w:numPr>
          <w:ilvl w:val="0"/>
          <w:numId w:val="10"/>
        </w:numPr>
      </w:pPr>
      <w:r>
        <w:t>Проверить сведения о приложениях, учётных записях, сетевых соединениях, приобретении программы и лицах, получавших данные.</w:t>
      </w:r>
    </w:p>
    <w:p>
      <w:pPr>
        <w:pStyle w:val="ListNumber"/>
        <w:numPr>
          <w:ilvl w:val="0"/>
          <w:numId w:val="10"/>
        </w:numPr>
      </w:pPr>
      <w:r>
        <w:t>Приобщить переписку, уведомления о входах, отчёт специалиста и сведения об угрозах; принять меры безопасности при наличии оснований.</w:t>
      </w:r>
    </w:p>
    <w:p>
      <w:pPr>
        <w:pStyle w:val="ListNumber"/>
        <w:numPr>
          <w:ilvl w:val="0"/>
          <w:numId w:val="10"/>
        </w:numPr>
      </w:pPr>
      <w:r>
        <w:t>Сообщить принятое решение и порядок 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удаляйте программу и не меняйте ключевые пароли на предполагаемо контролируемом устройстве до фиксации. Для экстренной защиты используйте чистое устройство; при угрозе насилия звоните 112.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скриншоты настроек и разрешений;</w:t>
      </w:r>
    </w:p>
    <w:p>
      <w:pPr>
        <w:pStyle w:val="ListBullet"/>
        <w:numPr>
          <w:ilvl w:val="0"/>
          <w:numId w:val="11"/>
        </w:numPr>
      </w:pPr>
      <w:r>
        <w:t>отчёт специалиста и хеш-суммы;</w:t>
      </w:r>
    </w:p>
    <w:p>
      <w:pPr>
        <w:pStyle w:val="ListBullet"/>
        <w:numPr>
          <w:ilvl w:val="0"/>
          <w:numId w:val="11"/>
        </w:numPr>
      </w:pPr>
      <w:r>
        <w:t>уведомления о входах и привязанных устройствах;</w:t>
      </w:r>
    </w:p>
    <w:p>
      <w:pPr>
        <w:pStyle w:val="ListBullet"/>
        <w:numPr>
          <w:ilvl w:val="0"/>
          <w:numId w:val="11"/>
        </w:numPr>
      </w:pPr>
      <w:r>
        <w:t>переписка, показывающая осведомлённость;</w:t>
      </w:r>
    </w:p>
    <w:p>
      <w:pPr>
        <w:pStyle w:val="ListBullet"/>
        <w:numPr>
          <w:ilvl w:val="0"/>
          <w:numId w:val="11"/>
        </w:numPr>
      </w:pPr>
      <w:r>
        <w:t>сведения об угрозах и свидетелях.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137, 138, 272 и 273 УК РФ — в зависимости от способа доступа и свойств программы; статьи 141, 144–145 УПК РФ; статьи 23 и 24 Конституции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