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полицию о снятии или переводе денег после смерти владельца счёта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№464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при конкретных операциях, совершённых после смерти без подтверждённого распоряжения владельца. В документе изложены факты без преждевременного обвинения конкретного человека.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ОМВД России по [район / город]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Наследодатель: [ФИО, дата смерти]</w:t>
      </w:r>
    </w:p>
    <w:p>
      <w:pPr>
        <w:pStyle w:val="Heading1"/>
      </w:pPr>
      <w:r>
        <w:t>ЗАЯВЛЕНИЕ О ПРОВЕРКЕ ОПЕРАЦИЙ ПО СЧЁТУ УМЕРШЕГО</w:t>
      </w:r>
    </w:p>
    <w:p>
      <w:r>
        <w:t>После смерти [ФИО] [дата и время] по его счёту / карте в [банк] совершены операции: [дата, время, сумма, банкомат или получатель]. Операции обнаружены [как].</w:t>
      </w:r>
    </w:p>
    <w:p>
      <w:r>
        <w:t>Возможный доступ к карте, телефону или ПИН-коду имели [лица — если известно]. Прошу не считать это утверждением об их виновности до проверки. Доверенность, если она существовала, прекратилась со смертью доверителя.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и выдать документ с номером КУСП.</w:t>
      </w:r>
    </w:p>
    <w:p>
      <w:pPr>
        <w:pStyle w:val="ListNumber"/>
        <w:numPr>
          <w:ilvl w:val="0"/>
          <w:numId w:val="10"/>
        </w:numPr>
      </w:pPr>
      <w:r>
        <w:t>Запросить и сохранить банковские сведения, видео банкоматов, данные устройств и получателей переводов.</w:t>
      </w:r>
    </w:p>
    <w:p>
      <w:pPr>
        <w:pStyle w:val="ListNumber"/>
        <w:numPr>
          <w:ilvl w:val="0"/>
          <w:numId w:val="10"/>
        </w:numPr>
      </w:pPr>
      <w:r>
        <w:t>Опросить указанных лиц и проверить основания каждой операции, включая возможные расходы на похороны.</w:t>
      </w:r>
    </w:p>
    <w:p>
      <w:pPr>
        <w:pStyle w:val="ListNumber"/>
        <w:numPr>
          <w:ilvl w:val="0"/>
          <w:numId w:val="10"/>
        </w:numPr>
      </w:pPr>
      <w:r>
        <w:t>Принять процессуальное решение и направить мне его копию.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Отдельно укажите операции до смерти: они могут оцениваться иначе и требуют проверки поручения и отчёта представителя.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уведомления и выписки;</w:t>
      </w:r>
    </w:p>
    <w:p>
      <w:pPr>
        <w:pStyle w:val="ListBullet"/>
        <w:numPr>
          <w:ilvl w:val="0"/>
          <w:numId w:val="11"/>
        </w:numPr>
      </w:pPr>
      <w:r>
        <w:t>сведения о карте, счёте и устройстве;</w:t>
      </w:r>
    </w:p>
    <w:p>
      <w:pPr>
        <w:pStyle w:val="ListBullet"/>
        <w:numPr>
          <w:ilvl w:val="0"/>
          <w:numId w:val="11"/>
        </w:numPr>
      </w:pPr>
      <w:r>
        <w:t>доверенность — если была;</w:t>
      </w:r>
    </w:p>
    <w:p>
      <w:pPr>
        <w:pStyle w:val="ListBullet"/>
        <w:numPr>
          <w:ilvl w:val="0"/>
          <w:numId w:val="11"/>
        </w:numPr>
      </w:pPr>
      <w:r>
        <w:t>переписка и известные камеры;</w:t>
      </w:r>
    </w:p>
    <w:p>
      <w:pPr>
        <w:pStyle w:val="ListBullet"/>
        <w:numPr>
          <w:ilvl w:val="0"/>
          <w:numId w:val="11"/>
        </w:numPr>
      </w:pPr>
      <w:r>
        <w:t>документы наследственного дела.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188 ГК РФ; статьи 140–145 УПК РФ; гражданско-правовые нормы о наследстве и неосновательном обогащении.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