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о проверке прибора учёта и перерасчёте коммунальной платы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№308</w:t>
      </w:r>
    </w:p>
    <w:p>
      <w:pPr>
        <w:spacing w:after="160"/>
      </w:pPr>
      <w:r>
        <w:rPr>
          <w:b/>
          <w:color w:val="676767"/>
          <w:sz w:val="19"/>
        </w:rPr>
        <w:t>Структура: ОБРАЩЕНИЕ: адресат и заявитель • обстоятельства • правовые основания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Первый документ исполнителю услуги. Фиксирует дату обнаружения неисправности, показания, пломбы, просьбу о проверке и возражения против завышенного начисления.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[исполнитель коммунальной услуги / гарантирующий поставщик,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 помещения, лицевой счёт, контакты]</w:t>
      </w:r>
    </w:p>
    <w:p>
      <w:pPr>
        <w:spacing w:after="40"/>
        <w:jc w:val="left"/>
      </w:pPr>
      <w:r>
        <w:rPr>
          <w:color w:val="14213D"/>
          <w:sz w:val="20"/>
        </w:rPr>
        <w:t>Прибор: [ресурс, модель, номер, место установки]</w:t>
      </w:r>
    </w:p>
    <w:p>
      <w:pPr>
        <w:pStyle w:val="Heading1"/>
      </w:pPr>
      <w:r>
        <w:t>ЗАЯВЛЕНИЕ О ПРОВЕРКЕ ПРИБОРА УЧЁТА И ПЕРЕРАСЧЁТЕ</w:t>
      </w:r>
    </w:p>
    <w:p>
      <w:pPr>
        <w:pStyle w:val="Heading2"/>
      </w:pPr>
      <w:r>
        <w:t>ОБСТОЯТЕЛЬСТВА</w:t>
      </w:r>
    </w:p>
    <w:p>
      <w:r>
        <w:t>Прибор учёта введён в эксплуатацию [дата], межповерочный интервал до [дата]. [Дата, время] обнаружено: [остановка, ошибка, повреждение, истечение срока]. Показания — [значение], состояние пломб — [описание].</w:t>
      </w:r>
    </w:p>
    <w:p>
      <w:r>
        <w:t>За [месяцы] начислено по [нормативу / повышающему коэффициенту] [сумма] руб. Ранее потребление составляло [данные]. С расчётом не согласен(на) по причинам [конкретно].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Зарегистрировать сообщение о неисправности датой его получения.</w:t>
      </w:r>
    </w:p>
    <w:p>
      <w:pPr>
        <w:pStyle w:val="ListNumber"/>
        <w:numPr>
          <w:ilvl w:val="0"/>
          <w:numId w:val="10"/>
        </w:numPr>
      </w:pPr>
      <w:r>
        <w:t>Согласовать проверку прибора, составить двусторонний акт с показаниями, пломбами, причиной и датой выхода из строя.</w:t>
      </w:r>
    </w:p>
    <w:p>
      <w:pPr>
        <w:pStyle w:val="ListNumber"/>
        <w:numPr>
          <w:ilvl w:val="0"/>
          <w:numId w:val="10"/>
        </w:numPr>
      </w:pPr>
      <w:r>
        <w:t>Сообщить, кто по закону обязан заменить / поверить прибор данного вида, и организовать необходимые действия в пределах компетенции.</w:t>
      </w:r>
    </w:p>
    <w:p>
      <w:pPr>
        <w:pStyle w:val="ListNumber"/>
        <w:numPr>
          <w:ilvl w:val="0"/>
          <w:numId w:val="10"/>
        </w:numPr>
      </w:pPr>
      <w:r>
        <w:t>Произвести расчёт и перерасчёт только за тот период и тем способом, которые применимы к установленной дате и виду ресурса; выдать помесячный расчёт.</w:t>
      </w:r>
    </w:p>
    <w:p>
      <w:pPr>
        <w:pStyle w:val="ListNumber"/>
        <w:numPr>
          <w:ilvl w:val="0"/>
          <w:numId w:val="10"/>
        </w:numPr>
      </w:pPr>
      <w:r>
        <w:t>Исключить пеню и меры взыскания по оспариваемой части до окончания проверки и дать мотивированный ответ.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Электрические счётчики и приборы учёта воды, газа и тепла имеют разный режим установки и замены. Не подменяйте дату фактической неисправности датой её позднего оформления.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паспорт и акт ввода прибора;</w:t>
      </w:r>
    </w:p>
    <w:p>
      <w:pPr>
        <w:pStyle w:val="ListBullet"/>
        <w:numPr>
          <w:ilvl w:val="0"/>
          <w:numId w:val="11"/>
        </w:numPr>
      </w:pPr>
      <w:r>
        <w:t>сведения о поверке;</w:t>
      </w:r>
    </w:p>
    <w:p>
      <w:pPr>
        <w:pStyle w:val="ListBullet"/>
        <w:numPr>
          <w:ilvl w:val="0"/>
          <w:numId w:val="11"/>
        </w:numPr>
      </w:pPr>
      <w:r>
        <w:t>фото показаний, пломб и ошибки;</w:t>
      </w:r>
    </w:p>
    <w:p>
      <w:pPr>
        <w:pStyle w:val="ListBullet"/>
        <w:numPr>
          <w:ilvl w:val="0"/>
          <w:numId w:val="11"/>
        </w:numPr>
      </w:pPr>
      <w:r>
        <w:t>квитанции и помесячная таблица начислений;</w:t>
      </w:r>
    </w:p>
    <w:p>
      <w:pPr>
        <w:pStyle w:val="ListBullet"/>
        <w:numPr>
          <w:ilvl w:val="0"/>
          <w:numId w:val="11"/>
        </w:numPr>
      </w:pPr>
      <w:r>
        <w:t>предыдущие показания и оплата;</w:t>
      </w:r>
    </w:p>
    <w:p>
      <w:pPr>
        <w:pStyle w:val="ListBullet"/>
        <w:numPr>
          <w:ilvl w:val="0"/>
          <w:numId w:val="11"/>
        </w:numPr>
      </w:pPr>
      <w:r>
        <w:t>переписка с исполнителем.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539, 541–544, 548 ГК РФ; статьи 153, 154, 157 ЖК РФ; пункты 31, 33, 59–61, 81–85 Правил, утверждённых Постановлением Правительства РФ от 06.05.2011 № 354; энергетическое законодательство — для учёта электроэнергии.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№308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