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разрешении разногласий относительно состава конкурсной массы: имущество является личной собственностью супруга</w:t>
      </w:r>
    </w:p>
    <w:p>
      <w:r>
        <w:rPr>
          <w:b/>
          <w:sz w:val="21"/>
        </w:rPr>
        <w:t>Статья № 509 • Категория: Заявления / защита • Для: Супруг должника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vAlign w:val="top"/>
          </w:tcPr>
          <w:p>
            <w:r>
              <w:t>В ______________________________</w:t>
              <w:br/>
              <w:t>(наименование суда)</w:t>
              <w:br/>
              <w:br/>
              <w:t>Дело № ________________________</w:t>
            </w:r>
          </w:p>
        </w:tc>
        <w:tc>
          <w:tcPr>
            <w:tcW w:type="dxa" w:w="5071"/>
            <w:vAlign w:val="top"/>
          </w:tcPr>
          <w:p>
            <w:r>
              <w:t>Заявитель/Истец: __________________</w:t>
              <w:br/>
              <w:t>Адрес: ____________________________</w:t>
              <w:br/>
              <w:t>Тел.: __________  E-mail: __________</w:t>
              <w:br/>
              <w:br/>
              <w:t>Другие участники: _________________</w:t>
            </w:r>
          </w:p>
        </w:tc>
      </w:tr>
    </w:tbl>
    <w:p/>
    <w:p>
      <w:pPr>
        <w:jc w:val="center"/>
      </w:pPr>
      <w:r>
        <w:rPr>
          <w:b/>
        </w:rPr>
        <w:t>ЗАЯВЛЕНИЕ О РАЗРЕШЕНИИ РАЗНОГЛАСИЙ ОТНОСИТЕЛЬНО СОСТАВА КОНКУРСНОЙ МАССЫ: ИМУЩЕСТВО ЯВЛЯЕТСЯ ЛИЧНОЙ СОБСТВЕННОСТЬЮ СУПРУГА</w:t>
      </w:r>
    </w:p>
    <w:p>
      <w:pPr>
        <w:pStyle w:val="Heading2"/>
      </w:pPr>
      <w:r>
        <w:t>Обстоятельства</w:t>
      </w:r>
    </w:p>
    <w:p>
      <w:r>
        <w:t>Финансовый управляющий относит имущество __________ к имуществу, подлежащему реализации в деле о банкротстве __________. Заявитель возражает, поскольку спорный объект является его личной собственностью.</w:t>
      </w:r>
    </w:p>
    <w:p>
      <w:pPr>
        <w:pStyle w:val="Heading2"/>
      </w:pPr>
      <w:r>
        <w:t>Источник права</w:t>
      </w:r>
    </w:p>
    <w:p>
      <w:r>
        <w:t>Имущество приобретено [до брака / в дар / по наследству / за личные средства, принадлежавшие до брака] на основании __________. Денежный источник подтверждается __________. Само нахождение сторон в браке не меняет режим имущества, подпадающего под статью 36 СК РФ.</w:t>
      </w:r>
    </w:p>
    <w:p>
      <w:pPr>
        <w:pStyle w:val="Heading2"/>
      </w:pPr>
      <w:r>
        <w:t>Отсутствие общей собственности</w:t>
      </w:r>
    </w:p>
    <w:p>
      <w:r>
        <w:t>Должник не приобретал долю в спорном имуществе за счёт общих средств. [Если были вложения в период брака — подробно указать их и не скрывать.] Право зарегистрировано на __________, однако заявитель ссылается не только на запись реестра, а на личное основание приобретения.</w:t>
      </w:r>
    </w:p>
    <w:p>
      <w:pPr>
        <w:pStyle w:val="Heading2"/>
      </w:pPr>
      <w:r>
        <w:t>Разногласия</w:t>
      </w:r>
    </w:p>
    <w:p>
      <w:r>
        <w:t>Просим суд разрешить разногласия относительно правового режима имущества и не допускать его реализации как общего имущества супругов без установления принадлежности должнику соответствующего права.</w:t>
      </w:r>
    </w:p>
    <w:p>
      <w:pPr>
        <w:pStyle w:val="Heading2"/>
      </w:pPr>
      <w:r>
        <w:t>ПРОШУ СУД</w:t>
      </w:r>
    </w:p>
    <w:p>
      <w:pPr>
        <w:pStyle w:val="ListNumber"/>
      </w:pPr>
      <w:r>
        <w:t>Разрешить разногласия и признать, что имущество __________ не относится к общему имуществу супругов и не подлежит реализации в деле о банкротстве должника как общее имущество.</w:t>
      </w:r>
    </w:p>
    <w:p>
      <w:pPr>
        <w:pStyle w:val="ListNumber"/>
      </w:pPr>
      <w:r>
        <w:t>Обязать финансового управляющего скорректировать опись/положение о реализации в соответствующей части [если применимо].</w:t>
      </w:r>
    </w:p>
    <w:p>
      <w:pPr>
        <w:pStyle w:val="ListNumber"/>
      </w:pPr>
      <w:r>
        <w:t>До разрешения разногласий не совершать действия по реализации спорного объекта [при наличии процессуальных оснований заявить отдельное ходатайство об обеспечительных мерах].</w:t>
      </w:r>
    </w:p>
    <w:p>
      <w:pPr>
        <w:pStyle w:val="Heading2"/>
      </w:pPr>
      <w:r>
        <w:t>Приложения</w:t>
      </w:r>
    </w:p>
    <w:p>
      <w:pPr>
        <w:pStyle w:val="ListNumber"/>
      </w:pPr>
      <w:r>
        <w:t>Документ о приобретении имущества.</w:t>
      </w:r>
    </w:p>
    <w:p>
      <w:pPr>
        <w:pStyle w:val="ListNumber"/>
      </w:pPr>
      <w:r>
        <w:t>Документы о дате брака.</w:t>
      </w:r>
    </w:p>
    <w:p>
      <w:pPr>
        <w:pStyle w:val="ListNumber"/>
      </w:pPr>
      <w:r>
        <w:t>Документы о личном источнике денежных средств.</w:t>
      </w:r>
    </w:p>
    <w:p>
      <w:pPr>
        <w:pStyle w:val="ListNumber"/>
      </w:pPr>
      <w:r>
        <w:t>Выписка ЕГРН / регистрационные документы.</w:t>
      </w:r>
    </w:p>
    <w:p>
      <w:pPr>
        <w:pStyle w:val="ListNumber"/>
      </w:pPr>
      <w:r>
        <w:t>Переписка с финансовым управляющим и его позиция.</w:t>
      </w:r>
    </w:p>
    <w:p>
      <w:pPr>
        <w:pStyle w:val="ListNumber"/>
      </w:pPr>
      <w:r>
        <w:t>Подтверждение направления заявления участникам.</w:t>
      </w:r>
    </w:p>
    <w:p>
      <w:pPr>
        <w:pStyle w:val="ListNumber"/>
      </w:pPr>
      <w:r>
        <w:t>Документ о госпошлине — если она подлежит уплате исходя из квалификации самостоятельного обособленного спора.</w:t>
      </w:r>
    </w:p>
    <w:p>
      <w:pPr>
        <w:pStyle w:val="Heading2"/>
      </w:pPr>
      <w:r>
        <w:t>Правовая основа</w:t>
      </w:r>
    </w:p>
    <w:p>
      <w:r>
        <w:t>Статьи 34, 36 СК РФ; статьи 60, 213.25, 213.26 Закона № 127-ФЗ; Постановление Пленума ВС РФ № 48; подп. 9 п. 1 ст. 333.21 НК РФ — с учётом существа обращения.</w:t>
      </w:r>
    </w:p>
    <w:p>
      <w:r>
        <w:rPr>
          <w:b/>
        </w:rPr>
        <w:t xml:space="preserve">Важно при заполнении: </w:t>
      </w:r>
      <w:r>
        <w:t>Не используйте этот документ для обычного спора о прожиточном минимуме должника: это другой вид разногласий.</w:t>
      </w:r>
    </w:p>
    <w:p>
      <w:r>
        <w:br/>
        <w:t>Дата: «___» __________ 20__ г.                         Подпись: __________ /____________/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Материал предназначен для подготовки документа по конкретным фактам; перед подачей заполните реквизиты и приложения.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sz w:val="16"/>
      </w:rPr>
      <w:t>ЮРИСТЫ В ДЖИНСАХ  • 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