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Следственный комитет об исчезновении имущества во время или после обыска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№473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Есть конкретные признаки, что имущество фактически забрали участники обыска или оно исчезло в период, когда помещение находилось под их контролем. Документ подаётся отдельно от процессуальной жалобы.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следственное управление СК России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Место и дата обыска: [сведения]</w:t>
      </w:r>
    </w:p>
    <w:p>
      <w:pPr>
        <w:pStyle w:val="Heading1"/>
      </w:pPr>
      <w:r>
        <w:t>ЗАЯВЛЕНИЕ О ВОЗМОЖНОМ ПРЕСТУПЛЕНИИ ПРИ ПРОВЕДЕНИИ ОБЫСКА</w:t>
      </w:r>
    </w:p>
    <w:p>
      <w:r>
        <w:t>[Дата] сотрудники [орган, данные] проводили обыск по адресу [адрес]. До начала обыска имущество [перечень] находилось [место], что подтверждается [доказательства]. После окончания оно отсутствовало и в выданной описи не указано.</w:t>
      </w:r>
    </w:p>
    <w:p>
      <w:r>
        <w:t>Наблюдаемые действия: [кто брал вещь, куда положил, кто присутствовал]. Если этого не видели, указать честно: исчезновение обнаружено [когда], доступ иных лиц [был/не был].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о преступлении и выдать подтверждение регистрации.</w:t>
      </w:r>
    </w:p>
    <w:p>
      <w:pPr>
        <w:pStyle w:val="ListNumber"/>
        <w:numPr>
          <w:ilvl w:val="0"/>
          <w:numId w:val="10"/>
        </w:numPr>
      </w:pPr>
      <w:r>
        <w:t>Истребовать протокол, видеозапись обыска, данные участников, понятых, упаковки, перемещения и хранения изъятого.</w:t>
      </w:r>
    </w:p>
    <w:p>
      <w:pPr>
        <w:pStyle w:val="ListNumber"/>
        <w:numPr>
          <w:ilvl w:val="0"/>
          <w:numId w:val="10"/>
        </w:numPr>
      </w:pPr>
      <w:r>
        <w:t>Осмотреть и сохранить записи камер по адресу и маршруту выноса имущества за период [период].</w:t>
      </w:r>
    </w:p>
    <w:p>
      <w:pPr>
        <w:pStyle w:val="ListNumber"/>
        <w:numPr>
          <w:ilvl w:val="0"/>
          <w:numId w:val="10"/>
        </w:numPr>
      </w:pPr>
      <w:r>
        <w:t>Проверить происхождение и местонахождение каждого предмета и дать правовую оценку действиям установленных лиц.</w:t>
      </w:r>
    </w:p>
    <w:p>
      <w:pPr>
        <w:pStyle w:val="ListNumber"/>
        <w:numPr>
          <w:ilvl w:val="0"/>
          <w:numId w:val="10"/>
        </w:numPr>
      </w:pPr>
      <w:r>
        <w:t>Вручить мне копию принятого процессуального решения.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завышайте сумму и не добавляйте имущество без подтверждений. Недостоверное сообщение о преступлении влечёт ответственность.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перечень имущества и подтверждение стоимости;</w:t>
      </w:r>
    </w:p>
    <w:p>
      <w:pPr>
        <w:pStyle w:val="ListBullet"/>
        <w:numPr>
          <w:ilvl w:val="0"/>
          <w:numId w:val="11"/>
        </w:numPr>
      </w:pPr>
      <w:r>
        <w:t>фото и видео до/после;</w:t>
      </w:r>
    </w:p>
    <w:p>
      <w:pPr>
        <w:pStyle w:val="ListBullet"/>
        <w:numPr>
          <w:ilvl w:val="0"/>
          <w:numId w:val="11"/>
        </w:numPr>
      </w:pPr>
      <w:r>
        <w:t>полученный протокол и опись;</w:t>
      </w:r>
    </w:p>
    <w:p>
      <w:pPr>
        <w:pStyle w:val="ListBullet"/>
        <w:numPr>
          <w:ilvl w:val="0"/>
          <w:numId w:val="11"/>
        </w:numPr>
      </w:pPr>
      <w:r>
        <w:t>контакты свидетелей;</w:t>
      </w:r>
    </w:p>
    <w:p>
      <w:pPr>
        <w:pStyle w:val="ListBullet"/>
        <w:numPr>
          <w:ilvl w:val="0"/>
          <w:numId w:val="11"/>
        </w:numPr>
      </w:pPr>
      <w:r>
        <w:t>обращение следователю и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141, 144–145 УПК РФ; возможная квалификация определяется по результатам проверки, в том числе с учётом должностного статуса и фактического способа завладения.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