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владельцу дороги о сохранении документов и записей по ДТП из-за ямы</w:t>
      </w:r>
    </w:p>
    <w:p>
      <w:pPr>
        <w:pStyle w:val="SmallNote"/>
      </w:pPr>
      <w:r>
        <w:t>Категория: Заявления  •  Статья сайта: №249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Сразу после оформления ДТП, чтобы сохранить документы о состоянии дороги, осмотрах, ремонте и предупреждающих знаках. Основной иск из библиотеки не дублируется.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Владельцу автомобильной дороги / уполномоченному органу [данные]</w:t>
      </w:r>
    </w:p>
    <w:p>
      <w:pPr>
        <w:spacing w:after="40"/>
        <w:jc w:val="left"/>
      </w:pPr>
      <w:r>
        <w:rPr>
          <w:color w:val="14213D"/>
          <w:sz w:val="20"/>
        </w:rPr>
        <w:t>Эксплуатирующей организации [если известна]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ДТП от [дата], место [точные координаты]</w:t>
      </w:r>
    </w:p>
    <w:p>
      <w:pPr>
        <w:pStyle w:val="Heading1"/>
      </w:pPr>
      <w:r>
        <w:t>ЗАЯВЛЕНИЕ О СОХРАНЕНИИ ДОКАЗАТЕЛЬСТВ СОСТОЯНИЯ ДОРОГИ</w:t>
      </w:r>
    </w:p>
    <w:p>
      <w:pPr>
        <w:pStyle w:val="Heading2"/>
      </w:pPr>
      <w:r>
        <w:t>ОБСТОЯТЕЛЬСТВА</w:t>
      </w:r>
    </w:p>
    <w:p>
      <w:r>
        <w:t>[Дата, время] автомобиль [марка, номер] попал в дефект покрытия по координатам [координаты]. Повреждения: [перечень]. Материал ДТП № [номер].</w:t>
      </w:r>
    </w:p>
    <w:p>
      <w:r>
        <w:t>Существенны сведения о содержании участка до и после события, включая заявки и произведённый ремонт. После устранения ямы часть фактических данных исчезнет.</w:t>
      </w:r>
    </w:p>
    <w:p>
      <w:pPr>
        <w:pStyle w:val="Heading2"/>
      </w:pPr>
      <w:r>
        <w:t>ПРАВОВЫЕ ОСНОВАНИЯ</w:t>
      </w:r>
    </w:p>
    <w:p>
      <w:r>
        <w:t>Владелец и лицо, ответственное за содержание дороги, обязаны обеспечивать безопасность в пределах своих полномочий. Документы могут быть истребованы судом, однако их своевременное сохранение предотвращает утрату доказательств.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Сохранить акты осмотров, журналы, предписания, обращения граждан, задания, контракты и отчёты о ремонте участка за период [период].</w:t>
      </w:r>
    </w:p>
    <w:p>
      <w:pPr>
        <w:pStyle w:val="ListNumber"/>
        <w:numPr>
          <w:ilvl w:val="0"/>
          <w:numId w:val="10"/>
        </w:numPr>
      </w:pPr>
      <w:r>
        <w:t>Сохранить фото, видео, данные дорожных камер и сведения о выставлении знаков/ограждений.</w:t>
      </w:r>
    </w:p>
    <w:p>
      <w:pPr>
        <w:pStyle w:val="ListNumber"/>
        <w:numPr>
          <w:ilvl w:val="0"/>
          <w:numId w:val="10"/>
        </w:numPr>
      </w:pPr>
      <w:r>
        <w:t>Сообщить владельца дороги, ответственную организацию и реквизиты контракта на дату ДТП.</w:t>
      </w:r>
    </w:p>
    <w:p>
      <w:pPr>
        <w:pStyle w:val="ListNumber"/>
        <w:numPr>
          <w:ilvl w:val="0"/>
          <w:numId w:val="10"/>
        </w:numPr>
      </w:pPr>
      <w:r>
        <w:t>Провести осмотр места с извещением заявителя и оформить акт с размерами дефекта, координатами, состоянием освещения и знаков.</w:t>
      </w:r>
    </w:p>
    <w:p>
      <w:pPr>
        <w:pStyle w:val="ListNumber"/>
        <w:numPr>
          <w:ilvl w:val="0"/>
          <w:numId w:val="10"/>
        </w:numPr>
      </w:pPr>
      <w:r>
        <w:t>Направить мотивированный ответ и контакт для предъявления требования о возмещении ущерба.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Адресат определяется по конкретному участку, а не по общему названию «дорожники». Для обеспечения доказательств до дела может потребоваться нотариальный осмотр или обращение в суд по правилам ГПК РФ.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материалы ДТП;</w:t>
      </w:r>
    </w:p>
    <w:p>
      <w:pPr>
        <w:pStyle w:val="ListBullet"/>
        <w:numPr>
          <w:ilvl w:val="0"/>
          <w:numId w:val="11"/>
        </w:numPr>
      </w:pPr>
      <w:r>
        <w:t>фото, видео и координаты;</w:t>
      </w:r>
    </w:p>
    <w:p>
      <w:pPr>
        <w:pStyle w:val="ListBullet"/>
        <w:numPr>
          <w:ilvl w:val="0"/>
          <w:numId w:val="11"/>
        </w:numPr>
      </w:pPr>
      <w:r>
        <w:t>схема;</w:t>
      </w:r>
    </w:p>
    <w:p>
      <w:pPr>
        <w:pStyle w:val="ListBullet"/>
        <w:numPr>
          <w:ilvl w:val="0"/>
          <w:numId w:val="11"/>
        </w:numPr>
      </w:pPr>
      <w:r>
        <w:t>документы о повреждениях и эвакуации;</w:t>
      </w:r>
    </w:p>
    <w:p>
      <w:pPr>
        <w:pStyle w:val="ListBullet"/>
        <w:numPr>
          <w:ilvl w:val="0"/>
          <w:numId w:val="11"/>
        </w:numPr>
      </w:pPr>
      <w:r>
        <w:t>доверенность;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12 и 13 Федерального закона № 257-ФЗ; Федеральный закон № 196-ФЗ; статьи 15 и 1064 ГК РФ; статьи 57 и 64–66 ГПК РФ — для последующего истребования или обеспечения доказательств.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№249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