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Банк России на выдачу кредита раньше периода охлаждения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№468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после обращения к кредитору. Банк России проверяет соблюдение обязательных антимошеннических правил, но не подменяет суд по требованию о признании договора незаключённым.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Банк России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Поднадзорная организация: [банк / МФО]</w:t>
      </w:r>
    </w:p>
    <w:p>
      <w:pPr>
        <w:pStyle w:val="Heading1"/>
      </w:pPr>
      <w:r>
        <w:t>ЖАЛОБА НА НАРУШЕНИЕ ПЕРИОДА ОХЛАЖДЕНИЯ</w:t>
      </w:r>
    </w:p>
    <w:p>
      <w:r>
        <w:t>[Дата, время] я подписал(а) индивидуальные условия договора № [номер] на сумму [сумма] руб. Деньги стали доступны [дата, время], то есть до истечения [4 / 48] часов.</w:t>
      </w:r>
    </w:p>
    <w:p>
      <w:r>
        <w:t>Договор, по моим сведениям, не относится к исключениям: [объяснить]. После предоставления средств они были похищены: [операции]. Уголовное дело возбуждено [реквизиты]. Обращение кредитору от [дата] получило ответ [суть] / осталось без ответа.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соблюдение периода охлаждения и обязанности письменного информирования заёмщика.</w:t>
      </w:r>
    </w:p>
    <w:p>
      <w:pPr>
        <w:pStyle w:val="ListNumber"/>
        <w:numPr>
          <w:ilvl w:val="0"/>
          <w:numId w:val="10"/>
        </w:numPr>
      </w:pPr>
      <w:r>
        <w:t>Проверить применение иных обязательных антимошеннических мер к договору и операциям.</w:t>
      </w:r>
    </w:p>
    <w:p>
      <w:pPr>
        <w:pStyle w:val="ListNumber"/>
        <w:numPr>
          <w:ilvl w:val="0"/>
          <w:numId w:val="10"/>
        </w:numPr>
      </w:pPr>
      <w:r>
        <w:t>Оценить действия организации после получения постановления о возбуждении уголовного дела.</w:t>
      </w:r>
    </w:p>
    <w:p>
      <w:pPr>
        <w:pStyle w:val="ListNumber"/>
        <w:numPr>
          <w:ilvl w:val="0"/>
          <w:numId w:val="10"/>
        </w:numPr>
      </w:pPr>
      <w:r>
        <w:t>Принять меры надзорного реагирования при наличии оснований и сообщить результат.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К жалобе приложите временную линию по минутам: подписание, доступность денег, каждый перевод, сообщение банку и обращение в полицию.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и индивидуальные условия;</w:t>
      </w:r>
    </w:p>
    <w:p>
      <w:pPr>
        <w:pStyle w:val="ListBullet"/>
        <w:numPr>
          <w:ilvl w:val="0"/>
          <w:numId w:val="11"/>
        </w:numPr>
      </w:pPr>
      <w:r>
        <w:t>выписки и уведомления;</w:t>
      </w:r>
    </w:p>
    <w:p>
      <w:pPr>
        <w:pStyle w:val="ListBullet"/>
        <w:numPr>
          <w:ilvl w:val="0"/>
          <w:numId w:val="11"/>
        </w:numPr>
      </w:pPr>
      <w:r>
        <w:t>временная линия операций;</w:t>
      </w:r>
    </w:p>
    <w:p>
      <w:pPr>
        <w:pStyle w:val="ListBullet"/>
        <w:numPr>
          <w:ilvl w:val="0"/>
          <w:numId w:val="11"/>
        </w:numPr>
      </w:pPr>
      <w:r>
        <w:t>постановление о возбуждении уголовного дела;</w:t>
      </w:r>
    </w:p>
    <w:p>
      <w:pPr>
        <w:pStyle w:val="ListBullet"/>
        <w:numPr>
          <w:ilvl w:val="0"/>
          <w:numId w:val="11"/>
        </w:numPr>
      </w:pPr>
      <w:r>
        <w:t>претензия кредитору и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части 9.3–9.5 статьи 7 и части 7–9 статьи 13 Федерального закона № 353-ФЗ; Федеральный закон № 86-ФЗ; специальные нормы законов № 395-1 и № 151-ФЗ.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