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[наименование]</w:t>
        <w:br/>
        <w:t>адрес /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на необоснованный или дискриминационный отказ в приёме на работу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Я претендовал(а) на должность [___] у [работодатель]. После [собеседования / автоматизированного отбора / видеособеседования] получил(а) отказ [дата]. Факты, указывающие на возможную незаконность отказа: [прямая ссылка на возраст, пол, семейное положение, наличие детей, иные обстоятельства, не связанные с деловыми качествами / противоречивые причины / отсутствие ответа на письменное требование]. Требование о письменной причине отказа от [дата] [ответ ___ / ответа нет].</w:t>
      </w:r>
    </w:p>
    <w:p>
      <w:pPr>
        <w:pStyle w:val="Heading2"/>
      </w:pPr>
      <w:r>
        <w:t>Правовое обоснование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3 ТК РФ запрещает дискриминацию в сфере труда. Статья 64 ТК РФ запрещает необоснованный отказ в заключении трудового договора и ограничения, не связанные с деловыми качествами; по письменному требованию причина отказа сообщается не позднее семи рабочих дней. При использовании автоматизированного отбора дополнительно могут применяться требования законодательства о персональных данных, однако ГИТ оценивает прежде всего соблюдение трудовых гарантий.</w:t>
      </w:r>
    </w:p>
    <w:p>
      <w:pPr>
        <w:pStyle w:val="Heading2"/>
      </w:pPr>
      <w:r>
        <w:t>Прошу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Проверить соблюдение работодателем ст. 3 и 64 ТК РФ в пределах компетенции.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Истребовать документы о вакансии, критериях отбора, письменной причине отказа и иных обстоятельствах, относящихся к жалобе.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При наличии оснований принять меры инспекторского реагирования.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Сообщить результаты рассмотрения и разъяснить порядок судебной защиты.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Жалоба в ГИТ не заменяет судебное обращение и не приостанавливает автоматически срок на иск. Для спора об отказе в заключении трудового договора применяется общий трёхмесячный срок ч. 1 ст. 392 ТК РФ со дня, когда кандидат узнал или должен был узнать о нарушении права; при уважительных причинах суд может восстановить срок.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Вакансия/объявление.</w:t>
        <w:br/>
        <w:t>2. Переписка и записи коммуникаций, полученные законным способом.</w:t>
        <w:br/>
        <w:t>3. Письменное требование о причине отказа и ответ/доказательство направления.</w:t>
        <w:br/>
        <w:t>4. Результаты тестов/отбора.</w:t>
        <w:br/>
        <w:t>5. Иные доказательства.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Заявитель: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