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Работодатель: [наименование]</w:t>
        <w:br/>
        <w:t>адрес,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на возможное нарушение обязанности по обеспечению повышения реального содержания заработной платы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Работодатель [наименование] за период [___] не проводил формальную индексацию заработной платы / применяет порядок, который, по моему мнению, не обеспечивает гарантию ст. 134 ТК РФ. Иные повышения оклада, ставки, надбавок или премий: [не было / были: ___]. Неясно, закреплены ли они локально именно как способ исполнения ст. 134 ТК РФ. Моя зарплата: [___]. На требование от [дата] работодатель [не ответил / ответил ___]. Локальные акты: [не представлены / содержание ___].</w:t>
      </w:r>
    </w:p>
    <w:p>
      <w:pPr>
        <w:pStyle w:val="Heading2"/>
      </w:pPr>
      <w:r>
        <w:t>Правовое обоснование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По ст. 134 ТК РФ работодатели обязаны обеспечивать повышение уровня реального содержания заработной платы; негосударственные работодатели определяют механизм коллективным договором, соглашениями и локальными актами. Отсутствие установленного механизма не освобождает от гарантии. Вместе с тем при проверке необходимо установить правовую природу фактических повышений оклада/ставки/премий и были ли они предусмотрены именно как способ исполнения ст. 134 ТК РФ. Денежный спор о конкретном размере задолженности разрешает суд.</w:t>
      </w:r>
    </w:p>
    <w:p>
      <w:pPr>
        <w:pStyle w:val="Heading2"/>
      </w:pPr>
      <w:r>
        <w:t>Прошу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Провести проверку соблюдения работодателем ст. 134 ТК РФ.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Истребовать локальные акты, расчёты и документы о формальной индексации и иных повышениях оклада/ставки/премиях, установить их правовую природу и связь с исполнением ст. 134 ТК РФ за [период].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При выявлении нарушения принять меры инспекторского реагирования в пределах компетенции.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Сообщить результаты рассмотрения и разъяснить порядок защиты денежного требования.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Важно: обращение в ГИТ не должно использоваться как причина пропустить судебный срок по конкретному денежному требованию. Для требований о невыплаченных суммах применяется годичный срок по ст. 392 ТК РФ, исчисляемый с установленного законом момента.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Трудовой договор.</w:t>
        <w:br/>
        <w:t>2. Расчётные листки.</w:t>
        <w:br/>
        <w:t>3. Требование работодателю и ответ.</w:t>
        <w:br/>
        <w:t>4. Локальные акты (если имеются).</w:t>
        <w:br/>
        <w:t>5. Предварительный расчёт.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Заявитель: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