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трудовую инспекцию на незаконные переработки и неоплату</w:t>
      </w:r>
    </w:p>
    <w:p>
      <w:pPr>
        <w:pStyle w:val="SmallNote"/>
      </w:pPr>
      <w:r>
        <w:t>Категория: Жалобы  •  Статья сайта: №272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Когда нужна надзорная проверка учёта времени, приказов, согласия и оплаты. Не заменяет иск о взыскании денег.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Государственную инспекцию труда [регион]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Работодатель: [наименование, ИНН, адрес]</w:t>
      </w:r>
    </w:p>
    <w:p>
      <w:pPr>
        <w:pStyle w:val="Heading1"/>
      </w:pPr>
      <w:r>
        <w:t>ЖАЛОБА НА НАРУШЕНИЕ РЕЖИМА РАБОЧЕГО ВРЕМЕНИ И НЕОПЛАТУ ПЕРЕРАБОТКИ</w:t>
      </w:r>
    </w:p>
    <w:p>
      <w:pPr>
        <w:pStyle w:val="Heading2"/>
      </w:pPr>
      <w:r>
        <w:t>ОБСТОЯТЕЛЬСТВА</w:t>
      </w:r>
    </w:p>
    <w:p>
      <w:r>
        <w:t>Мой установленный график: [график]. Фактически я работал(а) [даты, часы, кто дал указание]. Согласие [не запрашивалось / дано под давлением / оформлено].</w:t>
      </w:r>
    </w:p>
    <w:p>
      <w:r>
        <w:t>Табели отражают [неверные часы]. Оплата за [сверхурочные часы / выходные] не произведена / занижена. Требование от [дата] оставлено без результата.</w:t>
      </w:r>
    </w:p>
    <w:p>
      <w:pPr>
        <w:pStyle w:val="Heading2"/>
      </w:pPr>
      <w:r>
        <w:t>ПРАВОВЫЕ ОСНОВАНИЯ</w:t>
      </w:r>
    </w:p>
    <w:p>
      <w:r>
        <w:t>Статьи 91, 99, 113, 152 и 153 ТК РФ устанавливают учёт, основания, порядок и оплату работы за пределами нормального времени. ГИТ вправе проверить первичные данные и выдать предписание.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Провести проверку при наличии оснований, истребовать табели, приказы, данные доступа и расчётные документы.</w:t>
      </w:r>
    </w:p>
    <w:p>
      <w:pPr>
        <w:pStyle w:val="ListNumber"/>
        <w:numPr>
          <w:ilvl w:val="0"/>
          <w:numId w:val="10"/>
        </w:numPr>
      </w:pPr>
      <w:r>
        <w:t>Раздельно оценить сверхурочную работу и работу в выходные / праздничные дни.</w:t>
      </w:r>
    </w:p>
    <w:p>
      <w:pPr>
        <w:pStyle w:val="ListNumber"/>
        <w:numPr>
          <w:ilvl w:val="0"/>
          <w:numId w:val="10"/>
        </w:numPr>
      </w:pPr>
      <w:r>
        <w:t>Выдать предписание об устранении нарушений и решить вопрос об ответственности.</w:t>
      </w:r>
    </w:p>
    <w:p>
      <w:pPr>
        <w:pStyle w:val="ListNumber"/>
        <w:numPr>
          <w:ilvl w:val="0"/>
          <w:numId w:val="10"/>
        </w:numPr>
      </w:pPr>
      <w:r>
        <w:t>Сообщить о результатах, выданных актах и порядке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Обращение в ГИТ не приостанавливает срок иска. Оригиналы первичных электронных данных сохраните до подачи жалобы.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таблица смен и расчёт;</w:t>
      </w:r>
    </w:p>
    <w:p>
      <w:pPr>
        <w:pStyle w:val="ListBullet"/>
        <w:numPr>
          <w:ilvl w:val="0"/>
          <w:numId w:val="11"/>
        </w:numPr>
      </w:pPr>
      <w:r>
        <w:t>приказы, переписка, данные доступа;</w:t>
      </w:r>
    </w:p>
    <w:p>
      <w:pPr>
        <w:pStyle w:val="ListBullet"/>
        <w:numPr>
          <w:ilvl w:val="0"/>
          <w:numId w:val="11"/>
        </w:numPr>
      </w:pPr>
      <w:r>
        <w:t>расчётные листки;</w:t>
      </w:r>
    </w:p>
    <w:p>
      <w:pPr>
        <w:pStyle w:val="ListBullet"/>
        <w:numPr>
          <w:ilvl w:val="0"/>
          <w:numId w:val="11"/>
        </w:numPr>
      </w:pPr>
      <w:r>
        <w:t>требование работодателю и ответ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91, 99, 113, 152, 153, 236, 352–357 ТК РФ; Федеральный закон № 248-ФЗ.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№272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