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Государственную инспекцию труда в [субъекте РФ]</w:t>
        <w:br/>
      </w:r>
      <w:r>
        <w:rPr>
          <w:sz w:val="18"/>
        </w:rPr>
        <w:br/>
      </w:r>
      <w:r>
        <w:rPr>
          <w:sz w:val="18"/>
        </w:rPr>
        <w:t>Заявитель: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ЖАЛОБА</w:t>
        <w:br/>
        <w:t>на дисциплинарное взыскание и/или снижение премии из-за публикации в социальной сети</w:t>
      </w:r>
    </w:p>
    <w:p>
      <w:pPr>
        <w:spacing w:after="44" w:line="240" w:lineRule="auto"/>
      </w:pPr>
      <w:r>
        <w:t>Работодатель [наименование] применил ко мне [замечание/выговор] и/или снизил премию за [период] из-за публикации в социальной сети [описать]. Я полагаю нарушение незаконным, поскольку [публикация не связана с трудовыми обязанностями / не установлен нарушенный локальный акт / объяснение не затребовано / сроки нарушены / премия снижена вне условий положения / иное].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4" w:line="240" w:lineRule="auto"/>
      </w:pPr>
      <w:r>
        <w:t>Ст. 192-193 ТК РФ требуют наличия дисциплинарного проступка и соблюдения процедуры. До взыскания должно быть затребовано объяснение; взыскание применяется в предусмотренные сроки. Ст. 135 ТК РФ требует заранее закрепленных видов, размеров, оснований и условий премий. Если снижение премии связано с дисциплинарным взысканием, оно относится к премии за период взыскания и не должно уменьшать месячную заработную плату более чем на 20 процентов.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Проверить наличие трудовой обязанности, которую работодатель считает нарушенной, и соблюдение процедуры ст. 193 ТК РФ.</w:t>
      </w:r>
    </w:p>
    <w:p>
      <w:pPr>
        <w:spacing w:after="30"/>
        <w:ind w:left="244" w:hanging="159"/>
      </w:pPr>
      <w:r>
        <w:t>2. Проверить законность снижения/невыплаты премии по локальным актам и ст. 135 ТК РФ.</w:t>
      </w:r>
    </w:p>
    <w:p>
      <w:pPr>
        <w:spacing w:after="30"/>
        <w:ind w:left="244" w:hanging="159"/>
      </w:pPr>
      <w:r>
        <w:t>3. При наличии оснований принять меры инспекторского реагирования и выдать предписание в пределах компетенции.</w:t>
      </w:r>
    </w:p>
    <w:p>
      <w:pPr>
        <w:spacing w:after="30"/>
        <w:ind w:left="244" w:hanging="159"/>
      </w:pPr>
      <w:r>
        <w:t>4. Сообщить результат рассмотрения.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Копия приказа/уведомления.</w:t>
      </w:r>
    </w:p>
    <w:p>
      <w:pPr>
        <w:spacing w:after="30"/>
        <w:ind w:left="244" w:hanging="159"/>
      </w:pPr>
      <w:r>
        <w:t>- Объяснение работника.</w:t>
      </w:r>
    </w:p>
    <w:p>
      <w:pPr>
        <w:spacing w:after="30"/>
        <w:ind w:left="244" w:hanging="159"/>
      </w:pPr>
      <w:r>
        <w:t>- Положение о премировании - при наличии.</w:t>
      </w:r>
    </w:p>
    <w:p>
      <w:pPr>
        <w:spacing w:after="30"/>
        <w:ind w:left="244" w:hanging="159"/>
      </w:pPr>
      <w:r>
        <w:t>- Скриншот публикации и контекст.</w:t>
      </w:r>
    </w:p>
    <w:p>
      <w:pPr>
        <w:spacing w:after="30"/>
        <w:ind w:left="244" w:hanging="159"/>
      </w:pPr>
      <w:r>
        <w:t>- Расчетный листок.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