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Комитет ООН по правам человека (МПГПП)</w:t>
      </w:r>
    </w:p>
    <w:p>
      <w:r>
        <w:t xml:space="preserve">Я, [ФИО, гражданство, адрес], обращаюсь в Комитет ООН по правам человека с жалобой на нарушение Российской Федерацией моих прав, гарантированных Международным пактом о гражданских и политических правах: [статья Пакта — право на справедливый суд (ст. 14), право на частную жизнь (ст. 17), свобода выражения (ст. 19) и т.д.].</w:t>
      </w:r>
    </w:p>
    <w:p>
      <w:r>
        <w:t xml:space="preserve">Существо нарушения: [описание фактов и решений].</w:t>
      </w:r>
    </w:p>
    <w:p>
      <w:r>
        <w:t xml:space="preserve">Все доступные внутренние средства правовой защиты исчерпаны: [перечислить инстанции — апелляция, кассация, Верховный Суд РФ], окончательное решение вынесено «___» ________ 20__ г.</w:t>
      </w:r>
    </w:p>
    <w:p>
      <w:r>
        <w:t xml:space="preserve">Российская Федерация является участником Факультативного протокола, признающего компетенцию Комитета рассматривать индивидуальные жалобы.</w:t>
      </w:r>
    </w:p>
    <w:p/>
    <w:p>
      <w:r>
        <w:t xml:space="preserve">На основании изложенного, руководствуясь Международный пакт о гражданских и политических правах, Факультативный протокол к МПГПП,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нарушение Российской Федерацией моих прав по статьям [номера] МПГПП.</w:t>
      </w:r>
    </w:p>
    <w:p>
      <w:r>
        <w:t xml:space="preserve">2. Рекомендовать государству-участнику обеспечить эффективное средство правовой защиты и пересмотр решения.</w:t>
      </w:r>
    </w:p>
    <w:p/>
    <w:p>
      <w:r>
        <w:t xml:space="preserve">Приложения:</w:t>
      </w:r>
    </w:p>
    <w:p>
      <w:r>
        <w:t xml:space="preserve">1. копии всех судебных решений по делу</w:t>
      </w:r>
    </w:p>
    <w:p>
      <w:r>
        <w:t xml:space="preserve">2. доказательства исчерпания внутренних средств защиты</w:t>
      </w:r>
    </w:p>
    <w:p>
      <w:r>
        <w:t xml:space="preserve">3. документы по существу нарушения</w:t>
      </w:r>
    </w:p>
    <w:p>
      <w:r>
        <w:t xml:space="preserve">4. текст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Условие приемлемости: ИСЧЕРПАНИЕ всех внутренних средств защиты (до Верховного Суда РФ).</w:t>
      </w:r>
    </w:p>
    <w:p>
      <w:r>
        <w:rPr>
          <w:i/>
          <w:iCs/>
          <w:sz w:val="18"/>
          <w:szCs w:val="18"/>
        </w:rPr>
        <w:t xml:space="preserve">• Срок прямо не установлен, но разумно подавать в течение 1 года после окончательного решения.</w:t>
      </w:r>
    </w:p>
    <w:p>
      <w:r>
        <w:rPr>
          <w:i/>
          <w:iCs/>
          <w:sz w:val="18"/>
          <w:szCs w:val="18"/>
        </w:rPr>
        <w:t xml:space="preserve">• Решения Комитета не принудительны, но создают международно-правовые последствия и используются для пересмотра дел.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[zhaloba-ks-rf]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2026-08-17T06:36:01.864Z</dcterms:created>
  <dcterms:modified xsi:type="dcterms:W3CDTF">2026-08-17T06:36:01.864Z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