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муниципальный земельный контроль на производство на жилом участке</w:t>
      </w:r>
    </w:p>
    <w:p>
      <w:pPr>
        <w:pStyle w:val="SmallNote"/>
      </w:pPr>
      <w:r>
        <w:t>Категория: Жалобы  •  Статья сайта: №241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Сосед ведёт цех, автосервис, ферму или иное производство на участке, и есть признаки несоответствия виду разрешённого использования либо градостроительному регламенту.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[администрацию / орган муниципального земельного контроля]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Спорный участок: [адрес, кадастровый номер — если известен]</w:t>
      </w:r>
    </w:p>
    <w:p>
      <w:pPr>
        <w:pStyle w:val="Heading1"/>
      </w:pPr>
      <w:r>
        <w:t>ЖАЛОБА НА ВОЗМОЖНОЕ ИСПОЛЬЗОВАНИЕ УЧАСТКА НЕ ПО ЦЕЛЕВОМУ НАЗНАЧЕНИЮ</w:t>
      </w:r>
    </w:p>
    <w:p>
      <w:pPr>
        <w:pStyle w:val="Heading2"/>
      </w:pPr>
      <w:r>
        <w:t>ОБСТОЯТЕЛЬСТВА</w:t>
      </w:r>
    </w:p>
    <w:p>
      <w:r>
        <w:t>На участке [адрес] фактически осуществляется [вид деятельности, режим, техника, посетители]. Наблюдаемые признаки: [оборудование, вывеска, транспорт, отходы, шум/запах].</w:t>
      </w:r>
    </w:p>
    <w:p>
      <w:r>
        <w:t>Сведения ЕГРН/публичных источников указывают вид разрешённого использования [если известен]. Заявитель просит проверить факты, а не сделать вывод только по внешним признакам.</w:t>
      </w:r>
    </w:p>
    <w:p>
      <w:pPr>
        <w:pStyle w:val="Heading2"/>
      </w:pPr>
      <w:r>
        <w:t>ПРАВОВЫЕ ОСНОВАНИЯ</w:t>
      </w:r>
    </w:p>
    <w:p>
      <w:r>
        <w:t>Собственник и пользователь земли обязаны использовать участок в соответствии с его категорией, разрешённым использованием и обязательными требованиями. Конкретная допустимость деятельности зависит от регламента, зоны, документов объекта и фактического использования.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Установить правообладателя, вид разрешённого использования и территориальную зону участка.</w:t>
      </w:r>
    </w:p>
    <w:p>
      <w:pPr>
        <w:pStyle w:val="ListNumber"/>
        <w:numPr>
          <w:ilvl w:val="0"/>
          <w:numId w:val="10"/>
        </w:numPr>
      </w:pPr>
      <w:r>
        <w:t>Проверить фактическое использование и наличие предусмотренных законом разрешений/согласований.</w:t>
      </w:r>
    </w:p>
    <w:p>
      <w:pPr>
        <w:pStyle w:val="ListNumber"/>
        <w:numPr>
          <w:ilvl w:val="0"/>
          <w:numId w:val="10"/>
        </w:numPr>
      </w:pPr>
      <w:r>
        <w:t>При выявлении нарушения выдать предписание и применить меры в пределах полномочий.</w:t>
      </w:r>
    </w:p>
    <w:p>
      <w:pPr>
        <w:pStyle w:val="ListNumber"/>
        <w:numPr>
          <w:ilvl w:val="0"/>
          <w:numId w:val="10"/>
        </w:numPr>
      </w:pPr>
      <w:r>
        <w:t>Направить материалы в иной компетентный орган, если выявлены признаки санитарного, экологического, пожарного или предпринимательского нарушения.</w:t>
      </w:r>
    </w:p>
    <w:p>
      <w:pPr>
        <w:pStyle w:val="ListNumber"/>
        <w:numPr>
          <w:ilvl w:val="0"/>
          <w:numId w:val="10"/>
        </w:numPr>
      </w:pPr>
      <w:r>
        <w:t>Сообщить результаты и реквизиты принятых решений.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Сам факт работы из дома не всегда означает нарушение. Проверяются масштаб, вид использования, зонирование и воздействие; санитарная и экологическая ветки ведутся отдельно.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схема участка;</w:t>
      </w:r>
    </w:p>
    <w:p>
      <w:pPr>
        <w:pStyle w:val="ListBullet"/>
        <w:numPr>
          <w:ilvl w:val="0"/>
          <w:numId w:val="11"/>
        </w:numPr>
      </w:pPr>
      <w:r>
        <w:t>выписка/сведения ЕГРН — при наличии;</w:t>
      </w:r>
    </w:p>
    <w:p>
      <w:pPr>
        <w:pStyle w:val="ListBullet"/>
        <w:numPr>
          <w:ilvl w:val="0"/>
          <w:numId w:val="11"/>
        </w:numPr>
      </w:pPr>
      <w:r>
        <w:t>журнал наблюдений;</w:t>
      </w:r>
    </w:p>
    <w:p>
      <w:pPr>
        <w:pStyle w:val="ListBullet"/>
        <w:numPr>
          <w:ilvl w:val="0"/>
          <w:numId w:val="11"/>
        </w:numPr>
      </w:pPr>
      <w:r>
        <w:t>обращения соседей;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7 и 42 ЗК РФ; ГрК РФ; Федеральные законы № 248-ФЗ и № 59-ФЗ; муниципальные правила землепользования и застройки.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№241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