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на задержание из-за ошибочного совпадения системы распознавания лиц</w:t>
      </w:r>
    </w:p>
    <w:p>
      <w:pPr>
        <w:spacing w:after="200"/>
      </w:pPr>
      <w:r>
        <w:rPr>
          <w:b/>
          <w:color w:val="676767"/>
        </w:rPr>
        <w:t>Категория: Жалобы  •  Статья сайта: №495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Человека остановили или задержали после автоматического совпадения, но личность и причастность не подтвердились. Судебный способ обжалования выбирается отдельно по виду производства.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[руководитель органа полиции / прокурор]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Событие: [дата, место, подразделение]</w:t>
      </w:r>
    </w:p>
    <w:p>
      <w:pPr>
        <w:pStyle w:val="Heading1"/>
      </w:pPr>
      <w:r>
        <w:t>ЖАЛОБА НА НЕОБОСНОВАННОЕ ЗАДЕРЖАНИЕ И ПРОСЬБА СОХРАНИТЬ ДАННЫЕ ПРОВЕРКИ</w:t>
      </w:r>
    </w:p>
    <w:p>
      <w:r>
        <w:t>[Дата, время] по адресу [место] сотрудники [подразделение, данные если известны] остановили / доставили / удерживали меня до [время]. Основанием названо совпадение системы распознавания лиц с разыскиваемым человеком: [дословно].</w:t>
      </w:r>
    </w:p>
    <w:p>
      <w:r>
        <w:t>Моя личность подтверждалась [документы]. Ошибка была установлена [как и когда]. Процессуальный статус, основание и срок ограничения свободы были оформлены / не оформлены следующим образом: [факты]. Последствия: [здоровье, расходы, пропуск работы, иное].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Проверить законность основания, продолжительность и оформления ограничения моей свободы, а также действия конкретных сотрудников.</w:t>
      </w:r>
    </w:p>
    <w:p>
      <w:pPr>
        <w:pStyle w:val="ListNumber"/>
        <w:numPr>
          <w:ilvl w:val="0"/>
          <w:numId w:val="10"/>
        </w:numPr>
      </w:pPr>
      <w:r>
        <w:t>Незамедлительно обеспечить сохранность видеозаписей, журналов, карточки срабатывания, коэффициента совпадения, изображения-эталона, истории операторской проверки и решений сотрудников за указанный период.</w:t>
      </w:r>
    </w:p>
    <w:p>
      <w:pPr>
        <w:pStyle w:val="ListNumber"/>
        <w:numPr>
          <w:ilvl w:val="0"/>
          <w:numId w:val="10"/>
        </w:numPr>
      </w:pPr>
      <w:r>
        <w:t>Сообщить, использовалось ли исключительно автоматизированное решение либо результат проверялся человеком, кем и по каким данным.</w:t>
      </w:r>
    </w:p>
    <w:p>
      <w:pPr>
        <w:pStyle w:val="ListNumber"/>
        <w:numPr>
          <w:ilvl w:val="0"/>
          <w:numId w:val="10"/>
        </w:numPr>
      </w:pPr>
      <w:r>
        <w:t>Исправить недостоверные сведения обо мне и исключить повторное использование ошибочной привязки, если для этого имеются основания.</w:t>
      </w:r>
    </w:p>
    <w:p>
      <w:pPr>
        <w:pStyle w:val="ListNumber"/>
        <w:numPr>
          <w:ilvl w:val="0"/>
          <w:numId w:val="10"/>
        </w:numPr>
      </w:pPr>
      <w:r>
        <w:t>Выдать мотивированный ответ и копии доступных мне решений; разъяснить порядок дальнейшего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Статья 16 Закона № 152-ФЗ применяется именно к решениям, принятым исключительно на основе автоматизированной обработки и порождающим юридические последствия или затрагивающим права. Одного сигнала системы для автоматического применения этой статьи недостаточно — нужно установить, кто принял решение о задержании.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копии протоколов и выданных документов;</w:t>
      </w:r>
    </w:p>
    <w:p>
      <w:pPr>
        <w:pStyle w:val="ListBullet"/>
        <w:numPr>
          <w:ilvl w:val="0"/>
          <w:numId w:val="11"/>
        </w:numPr>
      </w:pPr>
      <w:r>
        <w:t>видео, фото, геолокация и данные свидетелей;</w:t>
      </w:r>
    </w:p>
    <w:p>
      <w:pPr>
        <w:pStyle w:val="ListBullet"/>
        <w:numPr>
          <w:ilvl w:val="0"/>
          <w:numId w:val="11"/>
        </w:numPr>
      </w:pPr>
      <w:r>
        <w:t>документы о расходах и последствиях;</w:t>
      </w:r>
    </w:p>
    <w:p>
      <w:pPr>
        <w:pStyle w:val="ListBullet"/>
        <w:numPr>
          <w:ilvl w:val="0"/>
          <w:numId w:val="11"/>
        </w:numPr>
      </w:pPr>
      <w:r>
        <w:t>копия документа, подтверждающего личность.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5 и 14 Федерального закона № 3-ФЗ «О полиции»; статьи 14 и 16 Федерального закона № 152-ФЗ; статьи 123–125 УПК РФ — если действия совершены в уголовном судопроизводстве; иной порядок определяется видом ограничения и оформленных материалов.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№495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