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на принудительную разблокировку телефона и нарушение порядка исследования данных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№472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Биометрическое действие проведено вопреки возражению, содержание телефона осматривалось без надлежащего оформления либо замечания не внесли в протокол. Адресат и порядок выбираются по органу расследования.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[руководителю следственного органа / прокурору / в 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По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Обжалуемое действие: [дата, должностное лицо]</w:t>
      </w:r>
    </w:p>
    <w:p>
      <w:pPr>
        <w:pStyle w:val="Heading1"/>
      </w:pPr>
      <w:r>
        <w:t>ЖАЛОБА НА ДЕЙСТВИЯ ПРИ РАЗБЛОКИРОВКЕ И ИССЛЕДОВАНИИ ТЕЛЕФОНА</w:t>
      </w:r>
    </w:p>
    <w:p>
      <w:r>
        <w:t>[Дата, место] должностное лицо [ФИО] потребовало [описать] и провело разблокировку телефона [способ]. Я возражал(а), требовал(а) адвоката и ссылался(ась) на право не свидетельствовать против себя, что [отражено / не отражено] в протоколе.</w:t>
      </w:r>
    </w:p>
    <w:p>
      <w:r>
        <w:t>После разблокировки были [осмотрены, скопированы, переданы] сведения [категории] при следующих процессуальных документах: [перечень / документы не вручены].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законность основания, способа и оформления разблокировки и последующего доступа к информации.</w:t>
      </w:r>
    </w:p>
    <w:p>
      <w:pPr>
        <w:pStyle w:val="ListNumber"/>
        <w:numPr>
          <w:ilvl w:val="0"/>
          <w:numId w:val="10"/>
        </w:numPr>
      </w:pPr>
      <w:r>
        <w:t>Проверить соблюдение права на защиту, статьи 51 Конституции РФ, порядка фиксации действия и рассмотрения замечаний.</w:t>
      </w:r>
    </w:p>
    <w:p>
      <w:pPr>
        <w:pStyle w:val="ListNumber"/>
        <w:numPr>
          <w:ilvl w:val="0"/>
          <w:numId w:val="10"/>
        </w:numPr>
      </w:pPr>
      <w:r>
        <w:t>Признать действие незаконным и устранить нарушение в пределах полномочий адресата — если основания подтвердятся.</w:t>
      </w:r>
    </w:p>
    <w:p>
      <w:pPr>
        <w:pStyle w:val="ListNumber"/>
        <w:numPr>
          <w:ilvl w:val="0"/>
          <w:numId w:val="10"/>
        </w:numPr>
      </w:pPr>
      <w:r>
        <w:t>Обеспечить сохранность исходных данных и исключить использование сведений, полученных за пределами законной процедуры; вопрос допустимости доказательств решить в предусмотренном УПК РФ порядке.</w:t>
      </w:r>
    </w:p>
    <w:p>
      <w:pPr>
        <w:pStyle w:val="ListNumber"/>
        <w:numPr>
          <w:ilvl w:val="0"/>
          <w:numId w:val="10"/>
        </w:numPr>
      </w:pPr>
      <w:r>
        <w:t>Вручить мотивированное решение по жалобе.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по статье 125 УПК РФ применима на досудебной стадии к действиям, способным причинить ущерб конституционным правам или затруднить доступ к правосудию. После передачи дела в суд способ возражения меняется.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жалоба и копии;</w:t>
      </w:r>
    </w:p>
    <w:p>
      <w:pPr>
        <w:pStyle w:val="ListBullet"/>
        <w:numPr>
          <w:ilvl w:val="0"/>
          <w:numId w:val="11"/>
        </w:numPr>
      </w:pPr>
      <w:r>
        <w:t>протоколы и постановления;</w:t>
      </w:r>
    </w:p>
    <w:p>
      <w:pPr>
        <w:pStyle w:val="ListBullet"/>
        <w:numPr>
          <w:ilvl w:val="0"/>
          <w:numId w:val="11"/>
        </w:numPr>
      </w:pPr>
      <w:r>
        <w:t>письменные замечания;</w:t>
      </w:r>
    </w:p>
    <w:p>
      <w:pPr>
        <w:pStyle w:val="ListBullet"/>
        <w:numPr>
          <w:ilvl w:val="0"/>
          <w:numId w:val="11"/>
        </w:numPr>
      </w:pPr>
      <w:r>
        <w:t>видео и данные участников;</w:t>
      </w:r>
    </w:p>
    <w:p>
      <w:pPr>
        <w:pStyle w:val="ListBullet"/>
        <w:numPr>
          <w:ilvl w:val="0"/>
          <w:numId w:val="11"/>
        </w:numPr>
      </w:pPr>
      <w:r>
        <w:t>документы о допуске адвоката;</w:t>
      </w:r>
    </w:p>
    <w:p>
      <w:pPr>
        <w:pStyle w:val="ListBullet"/>
        <w:numPr>
          <w:ilvl w:val="0"/>
          <w:numId w:val="11"/>
        </w:numPr>
      </w:pPr>
      <w:r>
        <w:t>ответ по статье 124 УПК РФ — если получен.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23, 48 и 51 Конституции РФ; статьи 75, 119–125, 164.1, 166, 182 и 183 УПК РФ; постановление Пленума Верховного Суда РФ от 10.02.2009 № 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