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прокурору на бездействие при проверке сообщения о требовании незаконного вознаграждения</w:t>
      </w:r>
    </w:p>
    <w:p>
      <w:pPr>
        <w:spacing w:after="200"/>
      </w:pPr>
      <w:r>
        <w:rPr>
          <w:b/>
          <w:color w:val="676767"/>
        </w:rPr>
        <w:t>Категория: Жалобы  •  Статья сайта: №501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Сообщение зарегистрировано в МВД, ФСБ или следственном органе СК России, но заявителю не сообщают о продлении проверки, передаче по подследственности или принятом процессуальном решении. Жалоба подаётся после сверки даты регистрации и документов о движении материала.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Прокурору [наименование района / иной компетентной прокуратуры]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Сообщение о преступлении: [орган, дата, регистрационный номер]</w:t>
      </w:r>
    </w:p>
    <w:p>
      <w:pPr>
        <w:pStyle w:val="Heading1"/>
      </w:pPr>
      <w:r>
        <w:t>ЖАЛОБА НА БЕЗДЕЙСТВИЕ ПРИ ПРОВЕРКЕ СООБЩЕНИЯ О ПРЕСТУПЛЕНИИ</w:t>
      </w:r>
    </w:p>
    <w:p>
      <w:r>
        <w:t>[Дата] я подал(а) в [орган] заявление о требовании должностным лицом подарка / незаконного вознаграждения. Заявление зарегистрировано под номером [номер], что подтверждается [талон-уведомление, отметка, ответ].</w:t>
      </w:r>
    </w:p>
    <w:p>
      <w:r>
        <w:t>По состоянию на [дата] мне не вручено и не направлено решение, предусмотренное статьёй 145 УПК РФ. О законном продлении срока и его основаниях / передаче материала по подследственности мне [не сообщено / сообщено следующее]. Мои обращения от [даты] оставлены без ответа / получили ответы: [описать].</w:t>
      </w:r>
    </w:p>
    <w:p>
      <w:r>
        <w:t>Бездействие затрудняет сохранение переписки, камер и иных данных, которые могут быть утрачены: [указать конкретные доказательства и сроки хранения, если известны].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Истребовать материал проверки и проверить соблюдение требований статей 144–145 УПК РФ, включая регистрацию, сроки, продление и уведомление заявителя.</w:t>
      </w:r>
    </w:p>
    <w:p>
      <w:pPr>
        <w:pStyle w:val="ListNumber"/>
        <w:numPr>
          <w:ilvl w:val="0"/>
          <w:numId w:val="10"/>
        </w:numPr>
      </w:pPr>
      <w:r>
        <w:t>При наличии нарушений потребовать их устранения и обеспечить сохранение перечисленных доказательств.</w:t>
      </w:r>
    </w:p>
    <w:p>
      <w:pPr>
        <w:pStyle w:val="ListNumber"/>
        <w:numPr>
          <w:ilvl w:val="0"/>
          <w:numId w:val="10"/>
        </w:numPr>
      </w:pPr>
      <w:r>
        <w:t>Сообщить, в каком органе и у какого должностного лица находится материал, его номер и принятое процессуальное решение.</w:t>
      </w:r>
    </w:p>
    <w:p>
      <w:pPr>
        <w:pStyle w:val="ListNumber"/>
        <w:numPr>
          <w:ilvl w:val="0"/>
          <w:numId w:val="10"/>
        </w:numPr>
      </w:pPr>
      <w:r>
        <w:t>Рассмотреть жалобу в порядке статьи 124 УПК РФ и направить мотивированное решение по указанному адресу.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постановление об отказе уже получено, обжалуйте именно его содержание и выводы, а не только отсутствие ответа. Жалоба прокурору и обращение в суд по статье 125 УПК РФ — разные способы проверки законности.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первоначального заявления;</w:t>
      </w:r>
    </w:p>
    <w:p>
      <w:pPr>
        <w:pStyle w:val="ListBullet"/>
        <w:numPr>
          <w:ilvl w:val="0"/>
          <w:numId w:val="11"/>
        </w:numPr>
      </w:pPr>
      <w:r>
        <w:t>талон-уведомление, регистрационные данные или почтовая квитанция;</w:t>
      </w:r>
    </w:p>
    <w:p>
      <w:pPr>
        <w:pStyle w:val="ListBullet"/>
        <w:numPr>
          <w:ilvl w:val="0"/>
          <w:numId w:val="11"/>
        </w:numPr>
      </w:pPr>
      <w:r>
        <w:t>последующие обращения и ответы;</w:t>
      </w:r>
    </w:p>
    <w:p>
      <w:pPr>
        <w:pStyle w:val="ListBullet"/>
        <w:numPr>
          <w:ilvl w:val="0"/>
          <w:numId w:val="11"/>
        </w:numPr>
      </w:pPr>
      <w:r>
        <w:t>краткая хронология проверки;</w:t>
      </w:r>
    </w:p>
    <w:p>
      <w:pPr>
        <w:pStyle w:val="ListBullet"/>
        <w:numPr>
          <w:ilvl w:val="0"/>
          <w:numId w:val="11"/>
        </w:numPr>
      </w:pPr>
      <w:r>
        <w:t>сведения о доказательствах, требующих срочного сохранения.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123–125 и 144–145 УПК РФ. Прокурор рассматривает жалобу в порядке статьи 124 УПК РФ; конкретные меры зависят от органа, стадии и уже принятого решения.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№501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