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Роскомнадзор на принуждение к биометрии и отказ в обслуживании</w:t>
      </w:r>
    </w:p>
    <w:p>
      <w:pPr>
        <w:spacing w:after="200"/>
      </w:pPr>
      <w:r>
        <w:rPr>
          <w:b/>
          <w:color w:val="676767"/>
        </w:rPr>
        <w:t>Категория: Жалобы  •  Статья сайта: №481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Организация не предложила альтернативу, не объяснила законное основание либо отказала в услуге после письменного отказа от биометрической идентификации.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Управление Роскомнадзора по [субъект РФ]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Организация: [наименование, адрес, сайт]</w:t>
      </w:r>
    </w:p>
    <w:p>
      <w:pPr>
        <w:pStyle w:val="Heading1"/>
      </w:pPr>
      <w:r>
        <w:t>ЖАЛОБА НА НАРУШЕНИЕ ПРАВ ПРИ ОБРАБОТКЕ БИОМЕТРИЧЕСКИХ ДАННЫХ</w:t>
      </w:r>
    </w:p>
    <w:p>
      <w:r>
        <w:t>[Дата] организация потребовала предоставить [вид данных] для идентификации/аутентификации при получении [услуга]. После моего отказа в обслуживании [отказано / ограничен объём / не предложена альтернатива].</w:t>
      </w:r>
    </w:p>
    <w:p>
      <w:r>
        <w:t>Письменное требование от [дата] [оставлено без ответа / получен ответ без ссылки на обязательную норму]. Обстоятельства подтверждаются [доказательства].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законность требования биометрических персональных данных и наличие оснований для отказа в обслуживании.</w:t>
      </w:r>
    </w:p>
    <w:p>
      <w:pPr>
        <w:pStyle w:val="ListNumber"/>
        <w:numPr>
          <w:ilvl w:val="0"/>
          <w:numId w:val="10"/>
        </w:numPr>
      </w:pPr>
      <w:r>
        <w:t>Проверить соблюдение обязанностей оператора по информированию, получению согласия, обеспечению безопасности и прекращению обработки.</w:t>
      </w:r>
    </w:p>
    <w:p>
      <w:pPr>
        <w:pStyle w:val="ListNumber"/>
        <w:numPr>
          <w:ilvl w:val="0"/>
          <w:numId w:val="10"/>
        </w:numPr>
      </w:pPr>
      <w:r>
        <w:t>При выявлении нарушения принять меры реагирования и потребовать его устранения в пределах компетенции.</w:t>
      </w:r>
    </w:p>
    <w:p>
      <w:pPr>
        <w:pStyle w:val="ListNumber"/>
        <w:numPr>
          <w:ilvl w:val="0"/>
          <w:numId w:val="10"/>
        </w:numPr>
      </w:pPr>
      <w:r>
        <w:t>Сообщить мне результаты рассмотрения и порядок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нарушителем является банк, параллельно используется жалоба в Банк России. Роскомнадзор оценивает обработку данных, а Банк России — соблюдение правил финансовой организацией.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требование организации и подтверждение вручения;</w:t>
      </w:r>
    </w:p>
    <w:p>
      <w:pPr>
        <w:pStyle w:val="ListBullet"/>
        <w:numPr>
          <w:ilvl w:val="0"/>
          <w:numId w:val="11"/>
        </w:numPr>
      </w:pPr>
      <w:r>
        <w:t>ответ или письменный отказ;</w:t>
      </w:r>
    </w:p>
    <w:p>
      <w:pPr>
        <w:pStyle w:val="ListBullet"/>
        <w:numPr>
          <w:ilvl w:val="0"/>
          <w:numId w:val="11"/>
        </w:numPr>
      </w:pPr>
      <w:r>
        <w:t>скриншоты интерфейса;</w:t>
      </w:r>
    </w:p>
    <w:p>
      <w:pPr>
        <w:pStyle w:val="ListBullet"/>
        <w:numPr>
          <w:ilvl w:val="0"/>
          <w:numId w:val="11"/>
        </w:numPr>
      </w:pPr>
      <w:r>
        <w:t>договор/заявка на услугу;</w:t>
      </w:r>
    </w:p>
    <w:p>
      <w:pPr>
        <w:pStyle w:val="ListBullet"/>
        <w:numPr>
          <w:ilvl w:val="0"/>
          <w:numId w:val="11"/>
        </w:numPr>
      </w:pPr>
      <w:r>
        <w:t>имеющееся согласие и сведения из политики обработки данных.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части 12 и 13 статьи 3 Федерального закона № 572-ФЗ; часть 3 статьи 11, статьи 14, 20, 21 и 23 Федерального закона № 152-ФЗ;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