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Росприроднадзор на выбросы от производственного объекта</w:t>
      </w:r>
    </w:p>
    <w:p>
      <w:pPr>
        <w:pStyle w:val="SmallNote"/>
      </w:pPr>
      <w:r>
        <w:t>Категория: Жалобы  •  Статья сайта: №241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Есть признаки выбросов от предприятия или иного объекта, относящегося к федеральному экологическому надзору. Для регионального объекта обращение может быть перенаправлено в орган субъекта РФ.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орган Росприроднадзора / региональный орган экологического надзора]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Предполагаемый объект: [наименование, адрес, ориентиры]</w:t>
      </w:r>
    </w:p>
    <w:p>
      <w:pPr>
        <w:pStyle w:val="Heading1"/>
      </w:pPr>
      <w:r>
        <w:t>ЖАЛОБА НА ВОЗМОЖНЫЕ НАРУШЕНИЯ ПРИ ВЫБРОСАХ В АТМОСФЕРНЫЙ ВОЗДУХ</w:t>
      </w:r>
    </w:p>
    <w:p>
      <w:pPr>
        <w:pStyle w:val="Heading2"/>
      </w:pPr>
      <w:r>
        <w:t>ОБСТОЯТЕЛЬСТВА</w:t>
      </w:r>
    </w:p>
    <w:p>
      <w:r>
        <w:t>В периоды [даты, время] наблюдались [дым, пыль, оседание частиц, устойчивый запах] со стороны [объект]. Факты зафиксированы [способ], обращения жителей перечислены в приложении.</w:t>
      </w:r>
    </w:p>
    <w:p>
      <w:r>
        <w:t>Известные сведения об объекте и источнике: [труба, вентиляция, площадка, вид работ]. Точный состав и превышение нормативов заявителю неизвестны и требуют проверки.</w:t>
      </w:r>
    </w:p>
    <w:p>
      <w:pPr>
        <w:pStyle w:val="Heading2"/>
      </w:pPr>
      <w:r>
        <w:t>ПРАВОВЫЕ ОСНОВАНИЯ</w:t>
      </w:r>
    </w:p>
    <w:p>
      <w:r>
        <w:t>Граждане вправе требовать защиты от негативного воздействия и достоверной экологической информации. Надзорный орган проверяет объект, обязательные документы, источники выбросов и соблюдение установленных требований в пределах своей компетенции.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Установить эксплуатирующее лицо и категорию объекта негативного воздействия.</w:t>
      </w:r>
    </w:p>
    <w:p>
      <w:pPr>
        <w:pStyle w:val="ListNumber"/>
        <w:numPr>
          <w:ilvl w:val="0"/>
          <w:numId w:val="10"/>
        </w:numPr>
      </w:pPr>
      <w:r>
        <w:t>Проверить наличие и соблюдение обязательных экологических документов, инвентаризации источников, контроля и отчётности — в применимой части.</w:t>
      </w:r>
    </w:p>
    <w:p>
      <w:pPr>
        <w:pStyle w:val="ListNumber"/>
        <w:numPr>
          <w:ilvl w:val="0"/>
          <w:numId w:val="10"/>
        </w:numPr>
      </w:pPr>
      <w:r>
        <w:t>При наличии оснований организовать обследование и инструментальный контроль источников выбросов.</w:t>
      </w:r>
    </w:p>
    <w:p>
      <w:pPr>
        <w:pStyle w:val="ListNumber"/>
        <w:numPr>
          <w:ilvl w:val="0"/>
          <w:numId w:val="10"/>
        </w:numPr>
      </w:pPr>
      <w:r>
        <w:t>Принять меры реагирования при выявлении нарушений и сообщить заявителю результаты в допустимом законом объёме.</w:t>
      </w:r>
    </w:p>
    <w:p>
      <w:pPr>
        <w:pStyle w:val="ListNumber"/>
        <w:numPr>
          <w:ilvl w:val="0"/>
          <w:numId w:val="10"/>
        </w:numPr>
      </w:pPr>
      <w:r>
        <w:t>При иной поднадзорности направить обращение компетентному органу без прекращения рассмотрения по формальному основанию.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Росприроднадзор и региональный экологический надзор распределяют объекты по поднадзорности. Не требуйте от одного органа подменить санитарные измерения Роспотребнадзора или взыскать ваши убытки.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журнал наблюдений;</w:t>
      </w:r>
    </w:p>
    <w:p>
      <w:pPr>
        <w:pStyle w:val="ListBullet"/>
        <w:numPr>
          <w:ilvl w:val="0"/>
          <w:numId w:val="11"/>
        </w:numPr>
      </w:pPr>
      <w:r>
        <w:t>фото и видео с датой и местом;</w:t>
      </w:r>
    </w:p>
    <w:p>
      <w:pPr>
        <w:pStyle w:val="ListBullet"/>
        <w:numPr>
          <w:ilvl w:val="0"/>
          <w:numId w:val="11"/>
        </w:numPr>
      </w:pPr>
      <w:r>
        <w:t>схема источника и жилой зоны;</w:t>
      </w:r>
    </w:p>
    <w:p>
      <w:pPr>
        <w:pStyle w:val="ListBullet"/>
        <w:numPr>
          <w:ilvl w:val="0"/>
          <w:numId w:val="11"/>
        </w:numPr>
      </w:pPr>
      <w:r>
        <w:t>предыдущие ответы органов;</w:t>
      </w:r>
    </w:p>
    <w:p>
      <w:pPr>
        <w:pStyle w:val="ListBullet"/>
        <w:numPr>
          <w:ilvl w:val="0"/>
          <w:numId w:val="11"/>
        </w:numPr>
      </w:pPr>
      <w:r>
        <w:t>коллективное обращение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42 Конституции РФ; статьи 11, 12 и 68 Федерального закона № 7-ФЗ; Федеральный закон № 96-ФЗ;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