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Заявление-жалоба в СК РФ на коррупцию должностного лица</w:t>
      </w:r>
    </w:p>
    <w:p>
      <w:r>
        <w:t xml:space="preserve">Должностное лицо [должность, ФИО, орган] совершило действия, содержащие признаки коррупции: [указать: вымогательство взятки / получение взятки / злоупотребление полномочиями за вознаграждение].</w:t>
      </w:r>
    </w:p>
    <w:p>
      <w:r>
        <w:t xml:space="preserve">Обстоятельства: [описать: когда, где, при каких условиях, свидетели].</w:t>
      </w:r>
    </w:p>
    <w:p>
      <w:r>
        <w:t xml:space="preserve">Прошу провести проверку и возбудить уголовное дело.</w:t>
      </w:r>
    </w:p>
    <w:p/>
    <w:p>
      <w:r>
        <w:t xml:space="preserve">На основании изложенного, руководствуясь ст. 141, 144 УПК РФ, ст. 290 УК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коррупции</w:t>
      </w:r>
    </w:p>
    <w:p>
      <w:r>
        <w:t xml:space="preserve">2. Возбудить уголовное дело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доказательства (записи, документы, свидетели)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СК РФ — подследственность коррупционных преступлений (ст. 151 УПК).</w:t>
      </w:r>
    </w:p>
    <w:p>
      <w:r>
        <w:rPr>
          <w:i/>
          <w:iCs/>
          <w:sz w:val="18"/>
          <w:szCs w:val="18"/>
        </w:rPr>
        <w:t xml:space="preserve">• Сроки: проверка заявления — 3 суток, до 30 суток (ст. 144 УПК).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Анонимные заявления не рассматриваются.</w:t>
      </w:r>
    </w:p>
    <w:p>
      <w:r>
        <w:rPr>
          <w:i/>
          <w:iCs/>
          <w:sz w:val="18"/>
          <w:szCs w:val="18"/>
        </w:rPr>
        <w:t xml:space="preserve">• Связанные документы: [zhaloba-prokuratura-bezdeystvie-59]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2026-08-17T06:36:01.183Z</dcterms:created>
  <dcterms:modified xsi:type="dcterms:W3CDTF">2026-08-17T06:36:01.183Z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