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СМО и ТФОМС на качество медицинской помощи по ОМС</w:t>
      </w:r>
    </w:p>
    <w:p>
      <w:pPr>
        <w:pStyle w:val="SmallNote"/>
      </w:pPr>
      <w:r>
        <w:t>Категория: Жалобы  •  Статья сайта: №268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спорная помощь оказывалась по ОМС и нужна целевая экспертиза качества. Для платного лечения эта ветка не подходит.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страховую медицинскую организацию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Копия: ТФОМС [регион]</w:t>
      </w:r>
    </w:p>
    <w:p>
      <w:pPr>
        <w:spacing w:after="40"/>
        <w:jc w:val="left"/>
      </w:pPr>
      <w:r>
        <w:rPr>
          <w:color w:val="14213D"/>
          <w:sz w:val="20"/>
        </w:rPr>
        <w:t>От застрахованного: [ФИО, дата рождения, полис ОМС, адрес, контакты]</w:t>
      </w:r>
    </w:p>
    <w:p>
      <w:pPr>
        <w:pStyle w:val="Heading1"/>
      </w:pPr>
      <w:r>
        <w:t>ЖАЛОБА НА КАЧЕСТВО МЕДИЦИНСКОЙ ПОМОЩИ ПО ОМС</w:t>
      </w:r>
    </w:p>
    <w:p>
      <w:pPr>
        <w:pStyle w:val="Heading2"/>
      </w:pPr>
      <w:r>
        <w:t>ОБСТОЯТЕЛЬСТВА</w:t>
      </w:r>
    </w:p>
    <w:p>
      <w:r>
        <w:t>В [медорганизация] мне по ОМС оказана помощь в период [даты]. Конкретные эпизоды: [хронология]. Наступили [последствия], подтверждённые [документы].</w:t>
      </w:r>
    </w:p>
    <w:p>
      <w:r>
        <w:t>Прошу проверить своевременность, правильность выбора методов, достижение результата и соблюдение клинических рекомендаций и порядков.</w:t>
      </w:r>
    </w:p>
    <w:p>
      <w:pPr>
        <w:pStyle w:val="Heading2"/>
      </w:pPr>
      <w:r>
        <w:t>ПРАВОВЫЕ ОСНОВАНИЯ</w:t>
      </w:r>
    </w:p>
    <w:p>
      <w:r>
        <w:t>Страховая медицинская организация защищает права застрахованных. По статье 40 Закона № 326-ФЗ экспертиза качества оценивает сроки, правильность выбора методов, степень достижения результата и причинно-следственные связи в пределах её задач.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Зарегистрировать жалобу и организовать целевую экспертизу качества медицинской помощи по указанным эпизодам.</w:t>
      </w:r>
    </w:p>
    <w:p>
      <w:pPr>
        <w:pStyle w:val="ListNumber"/>
        <w:numPr>
          <w:ilvl w:val="0"/>
          <w:numId w:val="10"/>
        </w:numPr>
      </w:pPr>
      <w:r>
        <w:t>Поставить перед экспертом вопросы о [конкретные вопросы по датам, действиям и последствиям].</w:t>
      </w:r>
    </w:p>
    <w:p>
      <w:pPr>
        <w:pStyle w:val="ListNumber"/>
        <w:numPr>
          <w:ilvl w:val="0"/>
          <w:numId w:val="10"/>
        </w:numPr>
      </w:pPr>
      <w:r>
        <w:t>Истребовать необходимые медицинские документы и учесть мои приложения.</w:t>
      </w:r>
    </w:p>
    <w:p>
      <w:pPr>
        <w:pStyle w:val="ListNumber"/>
        <w:numPr>
          <w:ilvl w:val="0"/>
          <w:numId w:val="10"/>
        </w:numPr>
      </w:pPr>
      <w:r>
        <w:t>Выдать заключение и мотивированный ответ; сообщить о принятых мерах по защите моих прав и дальнейшему лечению.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Заключение экспертизы качества — сильное доказательство, но не заменяет судебную экспертизу и не связывает суд заранее.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полис ОМС;</w:t>
      </w:r>
    </w:p>
    <w:p>
      <w:pPr>
        <w:pStyle w:val="ListBullet"/>
        <w:numPr>
          <w:ilvl w:val="0"/>
          <w:numId w:val="11"/>
        </w:numPr>
      </w:pPr>
      <w:r>
        <w:t>хронология и медицинские документы;</w:t>
      </w:r>
    </w:p>
    <w:p>
      <w:pPr>
        <w:pStyle w:val="ListBullet"/>
        <w:numPr>
          <w:ilvl w:val="0"/>
          <w:numId w:val="11"/>
        </w:numPr>
      </w:pPr>
      <w:r>
        <w:t>жалоба руководителю и ответ;</w:t>
      </w:r>
    </w:p>
    <w:p>
      <w:pPr>
        <w:pStyle w:val="ListBullet"/>
        <w:numPr>
          <w:ilvl w:val="0"/>
          <w:numId w:val="11"/>
        </w:numPr>
      </w:pPr>
      <w:r>
        <w:t>перечень вопросов для эксперта;</w:t>
      </w:r>
    </w:p>
    <w:p>
      <w:pPr>
        <w:pStyle w:val="ListBullet"/>
        <w:numPr>
          <w:ilvl w:val="0"/>
          <w:numId w:val="11"/>
        </w:numPr>
      </w:pPr>
      <w:r>
        <w:t>полномочия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16, 38–40 Федерального закона № 326-ФЗ; статьи 19, 37 и 98 Федерального закона № 323-ФЗ.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