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квалификационную коллегию судей на поведение судьи</w:t>
      </w:r>
    </w:p>
    <w:p>
      <w:r>
        <w:t xml:space="preserve">Судья [ФИО, суд] допустил(а) нарушение судейской этики / закона: [указать: хамство / волокита / предвзятость / нарушение сроков изготовления решения и т.п.].</w:t>
      </w:r>
    </w:p>
    <w:p>
      <w:r>
        <w:t xml:space="preserve">Конкретные факты: [описать с датами].</w:t>
      </w:r>
    </w:p>
    <w:p>
      <w:r>
        <w:t xml:space="preserve">Важно: обжалую не решение по делу (оно обжалуется в вышестоящий суд), а поведение судьи.</w:t>
      </w:r>
    </w:p>
    <w:p/>
    <w:p>
      <w:r>
        <w:t xml:space="preserve">На основании изложенного, руководствуясь ФЗ-30 «О статусе судей в РФ», Кодекс судейской этики,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действий судьи</w:t>
      </w:r>
    </w:p>
    <w:p>
      <w:r>
        <w:t xml:space="preserve">2. Привлечь к дисциплинарной ответственности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протоколы заседаний</w:t>
      </w:r>
    </w:p>
    <w:p>
      <w:r>
        <w:t xml:space="preserve">2. аудиозаписи</w:t>
      </w:r>
    </w:p>
    <w:p>
      <w:r>
        <w:t xml:space="preserve">3. копии документов о волоките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квалификационная коллегия судей региона.</w:t>
      </w:r>
    </w:p>
    <w:p>
      <w:r>
        <w:rPr>
          <w:i/>
          <w:iCs/>
          <w:sz w:val="18"/>
          <w:szCs w:val="18"/>
        </w:rPr>
        <w:t xml:space="preserve">• Сроки: 30 дней.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ККС не отменяет решения судьи — только наказывает за поведение.</w:t>
      </w:r>
    </w:p>
    <w:p>
      <w:r>
        <w:rPr>
          <w:i/>
          <w:iCs/>
          <w:sz w:val="18"/>
          <w:szCs w:val="18"/>
        </w:rPr>
        <w:t xml:space="preserve">• Связанные документы: [zhaloba-predsedatelyu-suda]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2026-08-17T06:36:01.311Z</dcterms:created>
  <dcterms:modified xsi:type="dcterms:W3CDTF">2026-08-17T06:36:01.311Z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